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D5892" w14:textId="77777777" w:rsidR="00DE4E0B" w:rsidRDefault="00DE4E0B" w:rsidP="005934C7">
      <w:pPr>
        <w:pStyle w:val="Title"/>
      </w:pPr>
      <w:r w:rsidRPr="00F5136C">
        <w:t>Tribal Colleges and Universities</w:t>
      </w:r>
    </w:p>
    <w:p w14:paraId="3CEFD84C" w14:textId="77777777" w:rsidR="003E024D" w:rsidRPr="003E024D" w:rsidRDefault="003E024D" w:rsidP="003E024D">
      <w:pPr>
        <w:pStyle w:val="Heading1"/>
      </w:pPr>
      <w:r>
        <w:t>Veterans Health Administration Office of Rural Health</w:t>
      </w:r>
    </w:p>
    <w:p w14:paraId="70F2628A" w14:textId="35F4FC15" w:rsidR="003E024D" w:rsidRPr="003E024D" w:rsidRDefault="003E024D" w:rsidP="003E024D">
      <w:pPr>
        <w:pStyle w:val="Heading4"/>
        <w:rPr>
          <w:i w:val="0"/>
        </w:rPr>
      </w:pPr>
      <w:r>
        <w:rPr>
          <w:i w:val="0"/>
        </w:rPr>
        <w:t>October 2015</w:t>
      </w:r>
    </w:p>
    <w:p w14:paraId="5849AA5C" w14:textId="77777777" w:rsidR="003E024D" w:rsidRDefault="003E024D" w:rsidP="003E024D">
      <w:pPr>
        <w:pStyle w:val="Heading4"/>
      </w:pPr>
      <w:r>
        <w:t>Authors:</w:t>
      </w:r>
    </w:p>
    <w:p w14:paraId="71C1B359" w14:textId="64ECA533" w:rsidR="003E024D" w:rsidRPr="003E024D" w:rsidRDefault="003E024D" w:rsidP="003E024D">
      <w:pPr>
        <w:pStyle w:val="Heading4"/>
        <w:rPr>
          <w:sz w:val="20"/>
        </w:rPr>
      </w:pPr>
      <w:r w:rsidRPr="003E024D">
        <w:rPr>
          <w:sz w:val="20"/>
        </w:rPr>
        <w:t xml:space="preserve">Carly Shangreau, BS, Program Specialist, Native Domain, Veterans Rural Health Resource Center – Salt Lake City </w:t>
      </w:r>
    </w:p>
    <w:p w14:paraId="376633F9" w14:textId="699CB3EB" w:rsidR="003E024D" w:rsidRPr="003E024D" w:rsidRDefault="003E024D" w:rsidP="003E024D">
      <w:pPr>
        <w:pStyle w:val="Heading4"/>
        <w:rPr>
          <w:sz w:val="20"/>
        </w:rPr>
      </w:pPr>
      <w:r w:rsidRPr="003E024D">
        <w:rPr>
          <w:sz w:val="20"/>
        </w:rPr>
        <w:t xml:space="preserve">Carol Kaufman, PhD, Population Scientist, </w:t>
      </w:r>
      <w:r w:rsidRPr="003E024D">
        <w:rPr>
          <w:sz w:val="20"/>
        </w:rPr>
        <w:t>Native Domain, Veterans Rural Health Resource Center – Salt Lake City</w:t>
      </w:r>
    </w:p>
    <w:p w14:paraId="6F33199D" w14:textId="123C8F43" w:rsidR="003E024D" w:rsidRPr="003E024D" w:rsidRDefault="003E024D" w:rsidP="003E024D">
      <w:pPr>
        <w:pStyle w:val="Heading4"/>
        <w:rPr>
          <w:sz w:val="20"/>
        </w:rPr>
      </w:pPr>
      <w:r w:rsidRPr="003E024D">
        <w:rPr>
          <w:sz w:val="20"/>
        </w:rPr>
        <w:t>Nancy Dailey, MSN, RN, Deputy Director,</w:t>
      </w:r>
      <w:r w:rsidRPr="003E024D">
        <w:rPr>
          <w:sz w:val="20"/>
        </w:rPr>
        <w:t xml:space="preserve"> Veterans Rural Health Resource Center – Salt Lake City</w:t>
      </w:r>
      <w:r w:rsidRPr="003E024D">
        <w:rPr>
          <w:sz w:val="20"/>
        </w:rPr>
        <w:t xml:space="preserve"> </w:t>
      </w:r>
    </w:p>
    <w:p w14:paraId="1A7BAA0A" w14:textId="43105487" w:rsidR="00DE4E0B" w:rsidRPr="003E024D" w:rsidRDefault="003E024D" w:rsidP="003E024D">
      <w:pPr>
        <w:pStyle w:val="Heading4"/>
        <w:rPr>
          <w:sz w:val="20"/>
        </w:rPr>
      </w:pPr>
      <w:r w:rsidRPr="003E024D">
        <w:rPr>
          <w:sz w:val="20"/>
        </w:rPr>
        <w:t xml:space="preserve">Jay Shore, MD, MPH, </w:t>
      </w:r>
      <w:r w:rsidRPr="003E024D">
        <w:rPr>
          <w:sz w:val="20"/>
        </w:rPr>
        <w:t>Native Domain</w:t>
      </w:r>
      <w:r w:rsidRPr="003E024D">
        <w:rPr>
          <w:sz w:val="20"/>
        </w:rPr>
        <w:t xml:space="preserve"> Lead</w:t>
      </w:r>
      <w:r w:rsidRPr="003E024D">
        <w:rPr>
          <w:sz w:val="20"/>
        </w:rPr>
        <w:t>, Veterans Rural Health Resource Center – Salt Lake City</w:t>
      </w:r>
    </w:p>
    <w:p w14:paraId="74174D23" w14:textId="77777777" w:rsidR="003E024D" w:rsidRPr="00F5136C" w:rsidRDefault="003E024D" w:rsidP="00DE4E0B">
      <w:pPr>
        <w:spacing w:after="0" w:line="240" w:lineRule="auto"/>
        <w:jc w:val="center"/>
        <w:rPr>
          <w:b/>
          <w:smallCaps/>
          <w:sz w:val="36"/>
          <w:szCs w:val="36"/>
        </w:rPr>
      </w:pPr>
    </w:p>
    <w:p w14:paraId="7A438C04" w14:textId="6C665F29" w:rsidR="008211DE" w:rsidRDefault="00DE4E0B" w:rsidP="00DE4E0B">
      <w:pPr>
        <w:spacing w:after="0" w:line="240" w:lineRule="auto"/>
        <w:rPr>
          <w:sz w:val="24"/>
          <w:szCs w:val="24"/>
        </w:rPr>
      </w:pPr>
      <w:r w:rsidRPr="009D3804">
        <w:rPr>
          <w:sz w:val="24"/>
          <w:szCs w:val="24"/>
        </w:rPr>
        <w:t>American Indian and Alaska Natives (AIANs) enter into military service at higher rates t</w:t>
      </w:r>
      <w:r>
        <w:rPr>
          <w:sz w:val="24"/>
          <w:szCs w:val="24"/>
        </w:rPr>
        <w:t>han those of other race groups.[1] However, t</w:t>
      </w:r>
      <w:r w:rsidRPr="006356EF">
        <w:rPr>
          <w:sz w:val="24"/>
          <w:szCs w:val="24"/>
        </w:rPr>
        <w:t xml:space="preserve">hey are also </w:t>
      </w:r>
      <w:r>
        <w:rPr>
          <w:sz w:val="24"/>
          <w:szCs w:val="24"/>
        </w:rPr>
        <w:t xml:space="preserve">among </w:t>
      </w:r>
      <w:r w:rsidRPr="006356EF">
        <w:rPr>
          <w:sz w:val="24"/>
          <w:szCs w:val="24"/>
        </w:rPr>
        <w:t>the least likely to access Veterans’ benefits compared to other race groups</w:t>
      </w:r>
      <w:r>
        <w:rPr>
          <w:sz w:val="24"/>
          <w:szCs w:val="24"/>
        </w:rPr>
        <w:t xml:space="preserve">. </w:t>
      </w:r>
      <w:r w:rsidRPr="006356EF">
        <w:rPr>
          <w:sz w:val="24"/>
          <w:szCs w:val="24"/>
        </w:rPr>
        <w:t xml:space="preserve">After service, AIAN Veterans </w:t>
      </w:r>
      <w:r>
        <w:rPr>
          <w:sz w:val="24"/>
          <w:szCs w:val="24"/>
        </w:rPr>
        <w:t>may</w:t>
      </w:r>
      <w:r w:rsidRPr="006356EF">
        <w:rPr>
          <w:sz w:val="24"/>
          <w:szCs w:val="24"/>
        </w:rPr>
        <w:t xml:space="preserve"> return to their hometowns</w:t>
      </w:r>
      <w:r>
        <w:rPr>
          <w:sz w:val="24"/>
          <w:szCs w:val="24"/>
        </w:rPr>
        <w:t xml:space="preserve"> on or near reservations</w:t>
      </w:r>
      <w:r w:rsidRPr="006356EF">
        <w:rPr>
          <w:sz w:val="24"/>
          <w:szCs w:val="24"/>
        </w:rPr>
        <w:t xml:space="preserve"> </w:t>
      </w:r>
      <w:r>
        <w:rPr>
          <w:sz w:val="24"/>
          <w:szCs w:val="24"/>
        </w:rPr>
        <w:t>often</w:t>
      </w:r>
      <w:r w:rsidRPr="006356EF">
        <w:rPr>
          <w:sz w:val="24"/>
          <w:szCs w:val="24"/>
        </w:rPr>
        <w:t xml:space="preserve"> located in some of the </w:t>
      </w:r>
      <w:r>
        <w:rPr>
          <w:sz w:val="24"/>
          <w:szCs w:val="24"/>
        </w:rPr>
        <w:t>n</w:t>
      </w:r>
      <w:r w:rsidRPr="006356EF">
        <w:rPr>
          <w:sz w:val="24"/>
          <w:szCs w:val="24"/>
        </w:rPr>
        <w:t>ation’s poores</w:t>
      </w:r>
      <w:r>
        <w:rPr>
          <w:sz w:val="24"/>
          <w:szCs w:val="24"/>
        </w:rPr>
        <w:t>t</w:t>
      </w:r>
      <w:r w:rsidR="0001706B">
        <w:rPr>
          <w:sz w:val="24"/>
          <w:szCs w:val="24"/>
        </w:rPr>
        <w:t xml:space="preserve"> rural and highly rural areas. </w:t>
      </w:r>
    </w:p>
    <w:p w14:paraId="425A4093" w14:textId="77777777" w:rsidR="008211DE" w:rsidRDefault="008211DE" w:rsidP="00DE4E0B">
      <w:pPr>
        <w:spacing w:after="0" w:line="240" w:lineRule="auto"/>
        <w:rPr>
          <w:sz w:val="24"/>
          <w:szCs w:val="24"/>
        </w:rPr>
      </w:pPr>
    </w:p>
    <w:p w14:paraId="4951E56B" w14:textId="651E6FD5" w:rsidR="00F16582" w:rsidRDefault="008D234D" w:rsidP="00083941">
      <w:pPr>
        <w:spacing w:after="0" w:line="240" w:lineRule="auto"/>
        <w:rPr>
          <w:sz w:val="24"/>
          <w:szCs w:val="24"/>
        </w:rPr>
      </w:pPr>
      <w:r w:rsidRPr="00511C9F">
        <w:rPr>
          <w:sz w:val="24"/>
          <w:szCs w:val="24"/>
        </w:rPr>
        <w:t>Studies indicate that t</w:t>
      </w:r>
      <w:r w:rsidR="0001706B" w:rsidRPr="00511C9F">
        <w:rPr>
          <w:sz w:val="24"/>
          <w:szCs w:val="24"/>
        </w:rPr>
        <w:t xml:space="preserve">he </w:t>
      </w:r>
      <w:r w:rsidRPr="00511C9F">
        <w:rPr>
          <w:sz w:val="24"/>
          <w:szCs w:val="24"/>
        </w:rPr>
        <w:t xml:space="preserve">substandard </w:t>
      </w:r>
      <w:r w:rsidR="0001706B" w:rsidRPr="00511C9F">
        <w:rPr>
          <w:sz w:val="24"/>
          <w:szCs w:val="24"/>
        </w:rPr>
        <w:t>socioeconomic cond</w:t>
      </w:r>
      <w:r w:rsidRPr="00511C9F">
        <w:rPr>
          <w:sz w:val="24"/>
          <w:szCs w:val="24"/>
        </w:rPr>
        <w:t>itions that AIANs face, including income and educational attainment, directly impact health and well-being</w:t>
      </w:r>
      <w:r w:rsidR="00E75428" w:rsidRPr="00511C9F">
        <w:rPr>
          <w:sz w:val="24"/>
          <w:szCs w:val="24"/>
        </w:rPr>
        <w:t xml:space="preserve">. </w:t>
      </w:r>
      <w:r w:rsidR="00347C19" w:rsidRPr="00511C9F">
        <w:rPr>
          <w:sz w:val="24"/>
          <w:szCs w:val="24"/>
        </w:rPr>
        <w:t>AIANs are disproportionately affected by illness, injury, and disease, most of which are preventable</w:t>
      </w:r>
      <w:r w:rsidR="00E75428" w:rsidRPr="00511C9F">
        <w:rPr>
          <w:sz w:val="24"/>
          <w:szCs w:val="24"/>
        </w:rPr>
        <w:t>, but can be attributed to a poverty-stricken lifestyle.</w:t>
      </w:r>
      <w:r w:rsidR="00CA470C" w:rsidRPr="00511C9F">
        <w:rPr>
          <w:sz w:val="24"/>
          <w:szCs w:val="24"/>
        </w:rPr>
        <w:t>[2]  However, a</w:t>
      </w:r>
      <w:r w:rsidR="00E75428" w:rsidRPr="00511C9F">
        <w:rPr>
          <w:sz w:val="24"/>
          <w:szCs w:val="24"/>
        </w:rPr>
        <w:t xml:space="preserve"> unique opportunity for Tribal Colleges and Universities (TCUs) and the Veterans Health Administration (VHA) is presented as service members return to these communities.</w:t>
      </w:r>
      <w:r w:rsidR="00E75428">
        <w:rPr>
          <w:sz w:val="24"/>
          <w:szCs w:val="24"/>
        </w:rPr>
        <w:t xml:space="preserve"> </w:t>
      </w:r>
      <w:r w:rsidR="00DE4E0B" w:rsidRPr="006356EF">
        <w:rPr>
          <w:sz w:val="24"/>
          <w:szCs w:val="24"/>
        </w:rPr>
        <w:t>Some of these Veterans</w:t>
      </w:r>
      <w:r w:rsidR="00DE4E0B">
        <w:rPr>
          <w:sz w:val="24"/>
          <w:szCs w:val="24"/>
        </w:rPr>
        <w:t>, especially those from recent conflicts,</w:t>
      </w:r>
      <w:r w:rsidR="00DE4E0B" w:rsidRPr="006356EF">
        <w:rPr>
          <w:sz w:val="24"/>
          <w:szCs w:val="24"/>
        </w:rPr>
        <w:t xml:space="preserve"> </w:t>
      </w:r>
      <w:r w:rsidR="00DE4E0B" w:rsidRPr="00C03DCC">
        <w:rPr>
          <w:sz w:val="24"/>
          <w:szCs w:val="24"/>
        </w:rPr>
        <w:t xml:space="preserve">seek post-separation training and skills development at </w:t>
      </w:r>
      <w:r w:rsidR="005934C7">
        <w:rPr>
          <w:sz w:val="24"/>
          <w:szCs w:val="24"/>
        </w:rPr>
        <w:t>TCUs.</w:t>
      </w:r>
    </w:p>
    <w:p w14:paraId="22E8C3C3" w14:textId="77777777" w:rsidR="00F16582" w:rsidRDefault="00F16582" w:rsidP="00083941">
      <w:pPr>
        <w:spacing w:after="0" w:line="240" w:lineRule="auto"/>
        <w:rPr>
          <w:sz w:val="24"/>
          <w:szCs w:val="24"/>
        </w:rPr>
      </w:pPr>
    </w:p>
    <w:p w14:paraId="617974B8" w14:textId="77777777" w:rsidR="00F16582" w:rsidRDefault="00DE4E0B" w:rsidP="00BA5862">
      <w:pPr>
        <w:spacing w:after="0" w:line="240" w:lineRule="auto"/>
        <w:rPr>
          <w:sz w:val="24"/>
          <w:szCs w:val="24"/>
        </w:rPr>
      </w:pPr>
      <w:r>
        <w:rPr>
          <w:sz w:val="24"/>
          <w:szCs w:val="24"/>
        </w:rPr>
        <w:t>TCUs are</w:t>
      </w:r>
      <w:r w:rsidRPr="00536339">
        <w:rPr>
          <w:sz w:val="24"/>
          <w:szCs w:val="24"/>
        </w:rPr>
        <w:t xml:space="preserve"> an attractive option for education and training for many</w:t>
      </w:r>
      <w:r w:rsidR="00AA4761">
        <w:rPr>
          <w:sz w:val="24"/>
          <w:szCs w:val="24"/>
        </w:rPr>
        <w:t xml:space="preserve"> AIAN</w:t>
      </w:r>
      <w:r w:rsidRPr="00536339">
        <w:rPr>
          <w:sz w:val="24"/>
          <w:szCs w:val="24"/>
        </w:rPr>
        <w:t xml:space="preserve"> Veterans</w:t>
      </w:r>
      <w:r w:rsidR="00083941">
        <w:rPr>
          <w:sz w:val="24"/>
          <w:szCs w:val="24"/>
        </w:rPr>
        <w:t xml:space="preserve">.  </w:t>
      </w:r>
      <w:r w:rsidRPr="00E943AB">
        <w:rPr>
          <w:sz w:val="24"/>
          <w:szCs w:val="24"/>
        </w:rPr>
        <w:t xml:space="preserve">Programs are designed to meet local employment needs, and education is provided in cultural context that AIAN Veterans and their dependents often seek.  </w:t>
      </w:r>
      <w:r w:rsidRPr="00083941">
        <w:rPr>
          <w:sz w:val="24"/>
          <w:szCs w:val="24"/>
        </w:rPr>
        <w:t>TCUs may provide a unique opportunity for outreach and partnership by the VA to engage and enroll this u</w:t>
      </w:r>
      <w:r w:rsidR="00F16582">
        <w:rPr>
          <w:sz w:val="24"/>
          <w:szCs w:val="24"/>
        </w:rPr>
        <w:t>nderserved Veteran population.</w:t>
      </w:r>
    </w:p>
    <w:p w14:paraId="38A1D274" w14:textId="77777777" w:rsidR="00F16582" w:rsidRDefault="00F16582" w:rsidP="00BA5862">
      <w:pPr>
        <w:spacing w:after="0" w:line="240" w:lineRule="auto"/>
        <w:rPr>
          <w:sz w:val="24"/>
          <w:szCs w:val="24"/>
        </w:rPr>
      </w:pPr>
    </w:p>
    <w:p w14:paraId="100EB42A" w14:textId="0B7F95C8" w:rsidR="00DE4E0B" w:rsidRPr="00DD77A8" w:rsidRDefault="00DE4E0B" w:rsidP="00BA5862">
      <w:pPr>
        <w:spacing w:after="0" w:line="240" w:lineRule="auto"/>
        <w:rPr>
          <w:sz w:val="24"/>
          <w:szCs w:val="24"/>
        </w:rPr>
      </w:pPr>
      <w:r w:rsidRPr="00DD77A8">
        <w:rPr>
          <w:sz w:val="24"/>
          <w:szCs w:val="24"/>
        </w:rPr>
        <w:t>However, to date, little is known about TCU programs or outreach activities for Veterans.</w:t>
      </w:r>
      <w:r w:rsidR="00AE2BC5">
        <w:rPr>
          <w:sz w:val="24"/>
          <w:szCs w:val="24"/>
        </w:rPr>
        <w:t xml:space="preserve">  This report illustrates</w:t>
      </w:r>
      <w:r w:rsidRPr="00DD77A8">
        <w:rPr>
          <w:sz w:val="24"/>
          <w:szCs w:val="24"/>
        </w:rPr>
        <w:t xml:space="preserve"> information about TCUs to assist with planning priorities, building partnerships, and developing strategies for outreach and </w:t>
      </w:r>
      <w:r w:rsidR="007162F2">
        <w:rPr>
          <w:sz w:val="24"/>
          <w:szCs w:val="24"/>
        </w:rPr>
        <w:t>assisting Veterans to maximize their</w:t>
      </w:r>
      <w:r w:rsidR="00BA5862">
        <w:rPr>
          <w:sz w:val="24"/>
          <w:szCs w:val="24"/>
        </w:rPr>
        <w:t xml:space="preserve"> b</w:t>
      </w:r>
      <w:r w:rsidR="007162F2">
        <w:rPr>
          <w:sz w:val="24"/>
          <w:szCs w:val="24"/>
        </w:rPr>
        <w:t>enefits</w:t>
      </w:r>
      <w:r w:rsidRPr="00DD77A8">
        <w:rPr>
          <w:sz w:val="24"/>
          <w:szCs w:val="24"/>
        </w:rPr>
        <w:t>.</w:t>
      </w:r>
    </w:p>
    <w:p w14:paraId="1F2271A6" w14:textId="77777777" w:rsidR="00DE4E0B" w:rsidRDefault="00DE4E0B" w:rsidP="00DE4E0B">
      <w:pPr>
        <w:spacing w:after="0" w:line="240" w:lineRule="auto"/>
        <w:rPr>
          <w:sz w:val="24"/>
          <w:szCs w:val="24"/>
        </w:rPr>
      </w:pPr>
    </w:p>
    <w:p w14:paraId="076E9E3D" w14:textId="77777777" w:rsidR="00DE4E0B" w:rsidRPr="00140321" w:rsidRDefault="00DE4E0B" w:rsidP="005934C7">
      <w:pPr>
        <w:pStyle w:val="Heading1"/>
      </w:pPr>
      <w:r w:rsidRPr="00140321">
        <w:t>What is a TCU?</w:t>
      </w:r>
    </w:p>
    <w:p w14:paraId="42D77BF1" w14:textId="5ED1DA2F" w:rsidR="00F16582" w:rsidRDefault="00DE4E0B" w:rsidP="00FC0917">
      <w:pPr>
        <w:pStyle w:val="ListParagraph"/>
        <w:spacing w:after="0" w:line="240" w:lineRule="auto"/>
        <w:ind w:left="0"/>
        <w:rPr>
          <w:sz w:val="24"/>
          <w:szCs w:val="24"/>
        </w:rPr>
      </w:pPr>
      <w:r>
        <w:rPr>
          <w:sz w:val="24"/>
          <w:szCs w:val="24"/>
        </w:rPr>
        <w:t xml:space="preserve">Before the TCU movement in the late 1960s early 70s, postsecondary education </w:t>
      </w:r>
      <w:r w:rsidR="00183C56">
        <w:rPr>
          <w:sz w:val="24"/>
          <w:szCs w:val="24"/>
        </w:rPr>
        <w:t xml:space="preserve">specifically </w:t>
      </w:r>
      <w:r>
        <w:rPr>
          <w:sz w:val="24"/>
          <w:szCs w:val="24"/>
        </w:rPr>
        <w:t>for AIAN populations was almost non-existent. The need for accessible higher education was of great concern among tribal leaders</w:t>
      </w:r>
      <w:r w:rsidR="00183C56">
        <w:rPr>
          <w:sz w:val="24"/>
          <w:szCs w:val="24"/>
        </w:rPr>
        <w:t>.  T</w:t>
      </w:r>
      <w:r>
        <w:rPr>
          <w:sz w:val="24"/>
          <w:szCs w:val="24"/>
        </w:rPr>
        <w:t>hey led the movement t</w:t>
      </w:r>
      <w:r w:rsidR="00183C56">
        <w:rPr>
          <w:sz w:val="24"/>
          <w:szCs w:val="24"/>
        </w:rPr>
        <w:t xml:space="preserve">o </w:t>
      </w:r>
      <w:r>
        <w:rPr>
          <w:sz w:val="24"/>
          <w:szCs w:val="24"/>
        </w:rPr>
        <w:t>address and overcome the barriers to higher education</w:t>
      </w:r>
      <w:r w:rsidR="00183C56">
        <w:rPr>
          <w:sz w:val="24"/>
          <w:szCs w:val="24"/>
        </w:rPr>
        <w:t xml:space="preserve"> for AIANs</w:t>
      </w:r>
      <w:r w:rsidR="00027D40">
        <w:rPr>
          <w:sz w:val="24"/>
          <w:szCs w:val="24"/>
        </w:rPr>
        <w:t xml:space="preserve"> through the establishment of TCUs</w:t>
      </w:r>
      <w:r w:rsidR="00F16582">
        <w:rPr>
          <w:sz w:val="24"/>
          <w:szCs w:val="24"/>
        </w:rPr>
        <w:t>.</w:t>
      </w:r>
    </w:p>
    <w:p w14:paraId="33AC21A1" w14:textId="77777777" w:rsidR="00FC0917" w:rsidRDefault="00FC0917" w:rsidP="00FC0917">
      <w:pPr>
        <w:pStyle w:val="ListParagraph"/>
        <w:spacing w:after="0" w:line="240" w:lineRule="auto"/>
        <w:ind w:left="0"/>
        <w:jc w:val="center"/>
        <w:rPr>
          <w:sz w:val="24"/>
          <w:szCs w:val="24"/>
        </w:rPr>
      </w:pPr>
    </w:p>
    <w:p w14:paraId="18CA2244" w14:textId="2D04A7EA" w:rsidR="00F16582" w:rsidRDefault="00FC0917" w:rsidP="00FC0917">
      <w:pPr>
        <w:pStyle w:val="ListParagraph"/>
        <w:spacing w:after="0" w:line="240" w:lineRule="auto"/>
        <w:ind w:left="3870"/>
        <w:rPr>
          <w:sz w:val="24"/>
          <w:szCs w:val="24"/>
        </w:rPr>
      </w:pPr>
      <w:r w:rsidRPr="00027D40">
        <w:rPr>
          <w:noProof/>
          <w:sz w:val="24"/>
          <w:szCs w:val="24"/>
        </w:rPr>
        <mc:AlternateContent>
          <mc:Choice Requires="wps">
            <w:drawing>
              <wp:inline distT="0" distB="0" distL="0" distR="0" wp14:anchorId="26AA7435" wp14:editId="2F18740A">
                <wp:extent cx="3451225" cy="1219200"/>
                <wp:effectExtent l="0" t="0" r="1587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225" cy="1219200"/>
                        </a:xfrm>
                        <a:prstGeom prst="rect">
                          <a:avLst/>
                        </a:prstGeom>
                        <a:solidFill>
                          <a:srgbClr val="FFFFFF"/>
                        </a:solidFill>
                        <a:ln w="9525">
                          <a:solidFill>
                            <a:srgbClr val="000000"/>
                          </a:solidFill>
                          <a:miter lim="800000"/>
                          <a:headEnd/>
                          <a:tailEnd/>
                        </a:ln>
                      </wps:spPr>
                      <wps:txbx>
                        <w:txbxContent>
                          <w:p w14:paraId="330DA1CB" w14:textId="77777777" w:rsidR="00FC0917" w:rsidRPr="007D7398" w:rsidRDefault="00FC0917" w:rsidP="00FC0917">
                            <w:pPr>
                              <w:rPr>
                                <w:i/>
                              </w:rPr>
                            </w:pPr>
                            <w:r w:rsidRPr="007D7398">
                              <w:rPr>
                                <w:i/>
                                <w:sz w:val="24"/>
                                <w:szCs w:val="24"/>
                              </w:rPr>
                              <w:t>In 1968, the first TCU was established in Navajo territory, which is now known as Diné College.  Diné College is still operating today, and has expanded to 7 sites throughout Arizona with one o</w:t>
                            </w:r>
                            <w:r>
                              <w:rPr>
                                <w:i/>
                                <w:sz w:val="24"/>
                                <w:szCs w:val="24"/>
                              </w:rPr>
                              <w:t>f the highest TCU enrollments.[3</w:t>
                            </w:r>
                            <w:r w:rsidRPr="007D7398">
                              <w:rPr>
                                <w:i/>
                                <w:sz w:val="24"/>
                                <w:szCs w:val="24"/>
                              </w:rPr>
                              <w:t>]</w:t>
                            </w:r>
                          </w:p>
                        </w:txbxContent>
                      </wps:txbx>
                      <wps:bodyPr rot="0" vert="horz" wrap="square" lIns="91440" tIns="45720" rIns="91440" bIns="45720" anchor="t" anchorCtr="0">
                        <a:noAutofit/>
                      </wps:bodyPr>
                    </wps:wsp>
                  </a:graphicData>
                </a:graphic>
              </wp:inline>
            </w:drawing>
          </mc:Choice>
          <mc:Fallback>
            <w:pict>
              <v:shapetype w14:anchorId="26AA7435" id="_x0000_t202" coordsize="21600,21600" o:spt="202" path="m,l,21600r21600,l21600,xe">
                <v:stroke joinstyle="miter"/>
                <v:path gradientshapeok="t" o:connecttype="rect"/>
              </v:shapetype>
              <v:shape id="Text Box 2" o:spid="_x0000_s1026" type="#_x0000_t202" style="width:271.7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">
                <v:textbox>
                  <w:txbxContent>
                    <w:p w14:paraId="330DA1CB" w14:textId="77777777" w:rsidR="00FC0917" w:rsidRPr="007D7398" w:rsidRDefault="00FC0917" w:rsidP="00FC0917">
                      <w:pPr>
                        <w:rPr>
                          <w:i/>
                        </w:rPr>
                      </w:pPr>
                      <w:r w:rsidRPr="007D7398">
                        <w:rPr>
                          <w:i/>
                          <w:sz w:val="24"/>
                          <w:szCs w:val="24"/>
                        </w:rPr>
                        <w:t>In 1968, the first TCU was established in Navajo territory, which is now known as Diné College.  Diné College is still operating today, and has expanded to 7 sites throughout Arizona with one o</w:t>
                      </w:r>
                      <w:r>
                        <w:rPr>
                          <w:i/>
                          <w:sz w:val="24"/>
                          <w:szCs w:val="24"/>
                        </w:rPr>
                        <w:t>f the highest TCU enrollments.[3</w:t>
                      </w:r>
                      <w:r w:rsidRPr="007D7398">
                        <w:rPr>
                          <w:i/>
                          <w:sz w:val="24"/>
                          <w:szCs w:val="24"/>
                        </w:rPr>
                        <w:t>]</w:t>
                      </w:r>
                    </w:p>
                  </w:txbxContent>
                </v:textbox>
                <w10:anchorlock/>
              </v:shape>
            </w:pict>
          </mc:Fallback>
        </mc:AlternateContent>
      </w:r>
    </w:p>
    <w:p w14:paraId="194BB731" w14:textId="77777777" w:rsidR="005640D1" w:rsidRDefault="005640D1" w:rsidP="00FC0917">
      <w:pPr>
        <w:pStyle w:val="ListParagraph"/>
        <w:spacing w:after="0" w:line="240" w:lineRule="auto"/>
        <w:ind w:left="3870"/>
        <w:rPr>
          <w:sz w:val="24"/>
          <w:szCs w:val="24"/>
        </w:rPr>
      </w:pPr>
    </w:p>
    <w:p w14:paraId="0FF96F70" w14:textId="3EC03291" w:rsidR="00DB3A54" w:rsidRPr="00DB3A54" w:rsidRDefault="00E10BF1" w:rsidP="00F16582">
      <w:pPr>
        <w:pStyle w:val="ListParagraph"/>
        <w:spacing w:after="0" w:line="240" w:lineRule="auto"/>
        <w:ind w:left="0"/>
        <w:rPr>
          <w:sz w:val="24"/>
          <w:szCs w:val="24"/>
        </w:rPr>
      </w:pPr>
      <w:r>
        <w:rPr>
          <w:sz w:val="24"/>
          <w:szCs w:val="24"/>
        </w:rPr>
        <w:t>Many</w:t>
      </w:r>
      <w:r w:rsidR="00DE4E0B">
        <w:rPr>
          <w:sz w:val="24"/>
          <w:szCs w:val="24"/>
        </w:rPr>
        <w:t xml:space="preserve"> of the challenges that these highly rural populations face</w:t>
      </w:r>
      <w:r w:rsidR="00183C56">
        <w:rPr>
          <w:sz w:val="24"/>
          <w:szCs w:val="24"/>
        </w:rPr>
        <w:t>d in the 20</w:t>
      </w:r>
      <w:r w:rsidR="00183C56" w:rsidRPr="00AE1479">
        <w:rPr>
          <w:sz w:val="24"/>
          <w:szCs w:val="24"/>
          <w:vertAlign w:val="superscript"/>
        </w:rPr>
        <w:t>th</w:t>
      </w:r>
      <w:r w:rsidR="00183C56">
        <w:rPr>
          <w:sz w:val="24"/>
          <w:szCs w:val="24"/>
        </w:rPr>
        <w:t xml:space="preserve"> century</w:t>
      </w:r>
      <w:r w:rsidR="00DE4E0B">
        <w:rPr>
          <w:sz w:val="24"/>
          <w:szCs w:val="24"/>
        </w:rPr>
        <w:t xml:space="preserve"> still hold true today:</w:t>
      </w:r>
    </w:p>
    <w:p w14:paraId="6F34CB57" w14:textId="77777777" w:rsidR="00DE4E0B" w:rsidRPr="00053FB1" w:rsidRDefault="00DE4E0B" w:rsidP="00DB3A54">
      <w:pPr>
        <w:pStyle w:val="ListParagraph"/>
        <w:numPr>
          <w:ilvl w:val="0"/>
          <w:numId w:val="32"/>
        </w:numPr>
        <w:spacing w:after="0" w:line="240" w:lineRule="auto"/>
        <w:rPr>
          <w:sz w:val="24"/>
          <w:szCs w:val="24"/>
        </w:rPr>
      </w:pPr>
      <w:r w:rsidRPr="00053FB1">
        <w:rPr>
          <w:sz w:val="24"/>
          <w:szCs w:val="24"/>
        </w:rPr>
        <w:t xml:space="preserve">Geographic isolation of reservations </w:t>
      </w:r>
      <w:r w:rsidR="00183C56" w:rsidRPr="00053FB1">
        <w:rPr>
          <w:sz w:val="24"/>
          <w:szCs w:val="24"/>
        </w:rPr>
        <w:t xml:space="preserve">or Alaska Native Villages </w:t>
      </w:r>
      <w:r w:rsidRPr="00053FB1">
        <w:rPr>
          <w:sz w:val="24"/>
          <w:szCs w:val="24"/>
        </w:rPr>
        <w:t xml:space="preserve">and transportation needs </w:t>
      </w:r>
    </w:p>
    <w:p w14:paraId="5769B686" w14:textId="77777777" w:rsidR="00DE4E0B" w:rsidRDefault="00DE4E0B" w:rsidP="00DB3A54">
      <w:pPr>
        <w:pStyle w:val="ListParagraph"/>
        <w:numPr>
          <w:ilvl w:val="0"/>
          <w:numId w:val="8"/>
        </w:numPr>
        <w:spacing w:after="0" w:line="240" w:lineRule="auto"/>
        <w:jc w:val="both"/>
        <w:rPr>
          <w:sz w:val="24"/>
          <w:szCs w:val="24"/>
        </w:rPr>
      </w:pPr>
      <w:r>
        <w:rPr>
          <w:sz w:val="24"/>
          <w:szCs w:val="24"/>
        </w:rPr>
        <w:t>Language and cultural barriers</w:t>
      </w:r>
    </w:p>
    <w:p w14:paraId="0D8C1E81" w14:textId="77777777" w:rsidR="00DE4E0B" w:rsidRDefault="00DE4E0B" w:rsidP="00DB3A54">
      <w:pPr>
        <w:pStyle w:val="ListParagraph"/>
        <w:numPr>
          <w:ilvl w:val="0"/>
          <w:numId w:val="8"/>
        </w:numPr>
        <w:spacing w:after="0" w:line="240" w:lineRule="auto"/>
        <w:jc w:val="both"/>
        <w:rPr>
          <w:sz w:val="24"/>
          <w:szCs w:val="24"/>
        </w:rPr>
      </w:pPr>
      <w:r>
        <w:rPr>
          <w:sz w:val="24"/>
          <w:szCs w:val="24"/>
        </w:rPr>
        <w:t>Lack of resources and infrastructure (e.g. classroom facilities, housing, daycare options)</w:t>
      </w:r>
    </w:p>
    <w:p w14:paraId="537AFCF3" w14:textId="77777777" w:rsidR="00DE4E0B" w:rsidRDefault="00DE4E0B" w:rsidP="00DB3A54">
      <w:pPr>
        <w:pStyle w:val="ListParagraph"/>
        <w:numPr>
          <w:ilvl w:val="0"/>
          <w:numId w:val="8"/>
        </w:numPr>
        <w:spacing w:after="0" w:line="240" w:lineRule="auto"/>
        <w:jc w:val="both"/>
        <w:rPr>
          <w:sz w:val="24"/>
          <w:szCs w:val="24"/>
        </w:rPr>
      </w:pPr>
      <w:r>
        <w:rPr>
          <w:sz w:val="24"/>
          <w:szCs w:val="24"/>
        </w:rPr>
        <w:t>Economic challenges (i.e. many reservation</w:t>
      </w:r>
      <w:r w:rsidR="00183C56">
        <w:rPr>
          <w:sz w:val="24"/>
          <w:szCs w:val="24"/>
        </w:rPr>
        <w:t xml:space="preserve"> communities</w:t>
      </w:r>
      <w:r>
        <w:rPr>
          <w:sz w:val="24"/>
          <w:szCs w:val="24"/>
        </w:rPr>
        <w:t xml:space="preserve"> are among the poorest in the nation with staggering unemployment rates)</w:t>
      </w:r>
    </w:p>
    <w:p w14:paraId="3046D80F" w14:textId="77777777" w:rsidR="00DE4E0B" w:rsidRDefault="00DE4E0B" w:rsidP="00DB3A54">
      <w:pPr>
        <w:spacing w:after="0" w:line="240" w:lineRule="auto"/>
        <w:jc w:val="both"/>
        <w:rPr>
          <w:sz w:val="24"/>
          <w:szCs w:val="24"/>
        </w:rPr>
      </w:pPr>
    </w:p>
    <w:p w14:paraId="28DB92DD" w14:textId="77777777" w:rsidR="00DE4E0B" w:rsidRDefault="00DE4E0B" w:rsidP="006D18AF">
      <w:pPr>
        <w:spacing w:after="0" w:line="240" w:lineRule="auto"/>
        <w:rPr>
          <w:sz w:val="24"/>
          <w:szCs w:val="24"/>
        </w:rPr>
      </w:pPr>
      <w:r w:rsidRPr="00DB4A8C">
        <w:rPr>
          <w:sz w:val="24"/>
          <w:szCs w:val="24"/>
        </w:rPr>
        <w:t xml:space="preserve">Unlike other public colleges and universities, most TCUs are located on </w:t>
      </w:r>
      <w:r w:rsidR="00CC5F33">
        <w:rPr>
          <w:sz w:val="24"/>
          <w:szCs w:val="24"/>
        </w:rPr>
        <w:t>tribal land</w:t>
      </w:r>
      <w:r w:rsidR="001E7EAA">
        <w:rPr>
          <w:sz w:val="24"/>
          <w:szCs w:val="24"/>
        </w:rPr>
        <w:t xml:space="preserve"> which make them in</w:t>
      </w:r>
      <w:r w:rsidR="00CC5F33">
        <w:rPr>
          <w:sz w:val="24"/>
          <w:szCs w:val="24"/>
        </w:rPr>
        <w:t xml:space="preserve">eligible to receive </w:t>
      </w:r>
      <w:r w:rsidRPr="00DB4A8C">
        <w:rPr>
          <w:sz w:val="24"/>
          <w:szCs w:val="24"/>
        </w:rPr>
        <w:t>f</w:t>
      </w:r>
      <w:r w:rsidR="00CC5F33">
        <w:rPr>
          <w:sz w:val="24"/>
          <w:szCs w:val="24"/>
        </w:rPr>
        <w:t>unding from the</w:t>
      </w:r>
      <w:r w:rsidRPr="00DB4A8C">
        <w:rPr>
          <w:sz w:val="24"/>
          <w:szCs w:val="24"/>
        </w:rPr>
        <w:t xml:space="preserve"> </w:t>
      </w:r>
      <w:r>
        <w:rPr>
          <w:sz w:val="24"/>
          <w:szCs w:val="24"/>
        </w:rPr>
        <w:t>state government</w:t>
      </w:r>
      <w:r w:rsidR="00CC5F33">
        <w:rPr>
          <w:sz w:val="24"/>
          <w:szCs w:val="24"/>
        </w:rPr>
        <w:t>.</w:t>
      </w:r>
      <w:r w:rsidR="001E7EAA">
        <w:rPr>
          <w:sz w:val="24"/>
          <w:szCs w:val="24"/>
        </w:rPr>
        <w:t xml:space="preserve">  </w:t>
      </w:r>
      <w:r w:rsidR="00CC5F33">
        <w:rPr>
          <w:sz w:val="24"/>
          <w:szCs w:val="24"/>
        </w:rPr>
        <w:t>Instead, m</w:t>
      </w:r>
      <w:r>
        <w:rPr>
          <w:sz w:val="24"/>
          <w:szCs w:val="24"/>
        </w:rPr>
        <w:t>ost TCUs rely on</w:t>
      </w:r>
      <w:r w:rsidRPr="002B770D">
        <w:rPr>
          <w:sz w:val="24"/>
          <w:szCs w:val="24"/>
        </w:rPr>
        <w:t xml:space="preserve"> partnerships with various agen</w:t>
      </w:r>
      <w:r>
        <w:rPr>
          <w:sz w:val="24"/>
          <w:szCs w:val="24"/>
        </w:rPr>
        <w:t>cies and organizations to include</w:t>
      </w:r>
      <w:r w:rsidRPr="002B770D">
        <w:rPr>
          <w:sz w:val="24"/>
          <w:szCs w:val="24"/>
        </w:rPr>
        <w:t xml:space="preserve">: </w:t>
      </w:r>
    </w:p>
    <w:p w14:paraId="6879F1AD" w14:textId="77777777" w:rsidR="00DE4E0B" w:rsidRPr="00771BC8" w:rsidRDefault="00DE4E0B" w:rsidP="00DE4E0B">
      <w:pPr>
        <w:pStyle w:val="ListParagraph"/>
        <w:numPr>
          <w:ilvl w:val="0"/>
          <w:numId w:val="6"/>
        </w:numPr>
        <w:spacing w:after="0" w:line="240" w:lineRule="auto"/>
        <w:ind w:left="180" w:firstLine="180"/>
        <w:rPr>
          <w:sz w:val="24"/>
          <w:szCs w:val="24"/>
          <w:u w:val="single"/>
        </w:rPr>
      </w:pPr>
      <w:r>
        <w:rPr>
          <w:sz w:val="24"/>
          <w:szCs w:val="24"/>
        </w:rPr>
        <w:t>T</w:t>
      </w:r>
      <w:r w:rsidRPr="00771BC8">
        <w:rPr>
          <w:sz w:val="24"/>
          <w:szCs w:val="24"/>
        </w:rPr>
        <w:t>ribal governments</w:t>
      </w:r>
    </w:p>
    <w:p w14:paraId="2939764E" w14:textId="77777777" w:rsidR="00DE4E0B" w:rsidRPr="00771BC8" w:rsidRDefault="00DE4E0B" w:rsidP="00DE4E0B">
      <w:pPr>
        <w:pStyle w:val="ListParagraph"/>
        <w:numPr>
          <w:ilvl w:val="0"/>
          <w:numId w:val="6"/>
        </w:numPr>
        <w:spacing w:after="0" w:line="240" w:lineRule="auto"/>
        <w:ind w:left="180" w:firstLine="180"/>
        <w:rPr>
          <w:sz w:val="24"/>
          <w:szCs w:val="24"/>
          <w:u w:val="single"/>
        </w:rPr>
      </w:pPr>
      <w:r>
        <w:rPr>
          <w:sz w:val="24"/>
          <w:szCs w:val="24"/>
        </w:rPr>
        <w:t>M</w:t>
      </w:r>
      <w:r w:rsidRPr="00771BC8">
        <w:rPr>
          <w:sz w:val="24"/>
          <w:szCs w:val="24"/>
        </w:rPr>
        <w:t>ainstream universities</w:t>
      </w:r>
      <w:r>
        <w:rPr>
          <w:sz w:val="24"/>
          <w:szCs w:val="24"/>
        </w:rPr>
        <w:t xml:space="preserve"> </w:t>
      </w:r>
    </w:p>
    <w:p w14:paraId="1C7C5CDD" w14:textId="77777777" w:rsidR="00DE4E0B" w:rsidRPr="00771BC8" w:rsidRDefault="00DE4E0B" w:rsidP="00DE4E0B">
      <w:pPr>
        <w:pStyle w:val="ListParagraph"/>
        <w:numPr>
          <w:ilvl w:val="0"/>
          <w:numId w:val="6"/>
        </w:numPr>
        <w:spacing w:after="0" w:line="240" w:lineRule="auto"/>
        <w:ind w:left="180" w:firstLine="180"/>
        <w:rPr>
          <w:sz w:val="24"/>
          <w:szCs w:val="24"/>
          <w:u w:val="single"/>
        </w:rPr>
      </w:pPr>
      <w:r w:rsidRPr="00771BC8">
        <w:rPr>
          <w:sz w:val="24"/>
          <w:szCs w:val="24"/>
        </w:rPr>
        <w:t>U.S. Department of Interior</w:t>
      </w:r>
    </w:p>
    <w:p w14:paraId="6A034B8C" w14:textId="77777777" w:rsidR="00DE4E0B" w:rsidRPr="00771BC8" w:rsidRDefault="00DE4E0B" w:rsidP="00DE4E0B">
      <w:pPr>
        <w:pStyle w:val="ListParagraph"/>
        <w:numPr>
          <w:ilvl w:val="0"/>
          <w:numId w:val="6"/>
        </w:numPr>
        <w:spacing w:after="0" w:line="240" w:lineRule="auto"/>
        <w:ind w:left="180" w:firstLine="180"/>
        <w:rPr>
          <w:sz w:val="24"/>
          <w:szCs w:val="24"/>
          <w:u w:val="single"/>
        </w:rPr>
      </w:pPr>
      <w:r w:rsidRPr="00771BC8">
        <w:rPr>
          <w:sz w:val="24"/>
          <w:szCs w:val="24"/>
        </w:rPr>
        <w:t xml:space="preserve">U.S. Department of Agriculture </w:t>
      </w:r>
    </w:p>
    <w:p w14:paraId="1B761BB8" w14:textId="77777777" w:rsidR="00DE4E0B" w:rsidRPr="00771BC8" w:rsidRDefault="00DE4E0B" w:rsidP="00DE4E0B">
      <w:pPr>
        <w:pStyle w:val="ListParagraph"/>
        <w:numPr>
          <w:ilvl w:val="0"/>
          <w:numId w:val="6"/>
        </w:numPr>
        <w:spacing w:after="0" w:line="240" w:lineRule="auto"/>
        <w:ind w:left="180" w:firstLine="180"/>
        <w:rPr>
          <w:sz w:val="24"/>
          <w:szCs w:val="24"/>
          <w:u w:val="single"/>
        </w:rPr>
      </w:pPr>
      <w:r w:rsidRPr="00771BC8">
        <w:rPr>
          <w:sz w:val="24"/>
          <w:szCs w:val="24"/>
        </w:rPr>
        <w:t xml:space="preserve">U.S. Department of Housing and Urban Development </w:t>
      </w:r>
    </w:p>
    <w:p w14:paraId="1D121DDD" w14:textId="77777777" w:rsidR="00DE4E0B" w:rsidRPr="00771BC8" w:rsidRDefault="00DE4E0B" w:rsidP="00DE4E0B">
      <w:pPr>
        <w:pStyle w:val="ListParagraph"/>
        <w:numPr>
          <w:ilvl w:val="0"/>
          <w:numId w:val="6"/>
        </w:numPr>
        <w:spacing w:after="0" w:line="240" w:lineRule="auto"/>
        <w:ind w:left="720"/>
        <w:rPr>
          <w:sz w:val="24"/>
          <w:szCs w:val="24"/>
          <w:u w:val="single"/>
        </w:rPr>
      </w:pPr>
      <w:r w:rsidRPr="00771BC8">
        <w:rPr>
          <w:sz w:val="24"/>
          <w:szCs w:val="24"/>
        </w:rPr>
        <w:t>National Science Foundation</w:t>
      </w:r>
    </w:p>
    <w:p w14:paraId="5B106DB7" w14:textId="77777777" w:rsidR="00DE4E0B" w:rsidRPr="005A2BBF" w:rsidRDefault="00DE4E0B" w:rsidP="00DE4E0B">
      <w:pPr>
        <w:pStyle w:val="ListParagraph"/>
        <w:numPr>
          <w:ilvl w:val="0"/>
          <w:numId w:val="6"/>
        </w:numPr>
        <w:tabs>
          <w:tab w:val="left" w:pos="720"/>
        </w:tabs>
        <w:spacing w:after="0" w:line="240" w:lineRule="auto"/>
        <w:ind w:left="720"/>
        <w:rPr>
          <w:sz w:val="24"/>
          <w:szCs w:val="24"/>
          <w:u w:val="single"/>
        </w:rPr>
      </w:pPr>
      <w:r w:rsidRPr="00771BC8">
        <w:rPr>
          <w:sz w:val="24"/>
          <w:szCs w:val="24"/>
        </w:rPr>
        <w:t>National Aeronautics and Space Administration</w:t>
      </w:r>
    </w:p>
    <w:p w14:paraId="204DFBCB" w14:textId="77777777" w:rsidR="005A2BBF" w:rsidRDefault="005A2BBF" w:rsidP="005A2BBF">
      <w:pPr>
        <w:tabs>
          <w:tab w:val="left" w:pos="720"/>
        </w:tabs>
        <w:spacing w:after="0" w:line="240" w:lineRule="auto"/>
        <w:rPr>
          <w:sz w:val="24"/>
          <w:szCs w:val="24"/>
          <w:u w:val="single"/>
        </w:rPr>
      </w:pPr>
    </w:p>
    <w:p w14:paraId="6AC16D51" w14:textId="3663BFE5" w:rsidR="005A2BBF" w:rsidRPr="005A2BBF" w:rsidRDefault="005A2BBF" w:rsidP="005A2BBF">
      <w:pPr>
        <w:tabs>
          <w:tab w:val="left" w:pos="720"/>
        </w:tabs>
        <w:spacing w:after="0" w:line="240" w:lineRule="auto"/>
        <w:rPr>
          <w:sz w:val="24"/>
          <w:szCs w:val="24"/>
        </w:rPr>
      </w:pPr>
      <w:r>
        <w:rPr>
          <w:sz w:val="24"/>
          <w:szCs w:val="24"/>
        </w:rPr>
        <w:t>Partnerships with organizations such as those listed above, provide nece</w:t>
      </w:r>
      <w:r w:rsidR="00C759B1">
        <w:rPr>
          <w:sz w:val="24"/>
          <w:szCs w:val="24"/>
        </w:rPr>
        <w:t>ssary funding and resources, such as; science labs, student research, scholarships, and o</w:t>
      </w:r>
      <w:r w:rsidR="0071569F">
        <w:rPr>
          <w:sz w:val="24"/>
          <w:szCs w:val="24"/>
        </w:rPr>
        <w:t>ther incentives.  These collaborative efforts are also designed to a</w:t>
      </w:r>
      <w:r w:rsidR="00C759B1">
        <w:rPr>
          <w:sz w:val="24"/>
          <w:szCs w:val="24"/>
        </w:rPr>
        <w:t>ssist students in the pursuit of advanced degrees at mainstream universities</w:t>
      </w:r>
      <w:r w:rsidR="006E7A3A">
        <w:rPr>
          <w:sz w:val="24"/>
          <w:szCs w:val="24"/>
        </w:rPr>
        <w:t xml:space="preserve"> when they have completed a </w:t>
      </w:r>
      <w:r w:rsidR="006E1560">
        <w:rPr>
          <w:sz w:val="24"/>
          <w:szCs w:val="24"/>
        </w:rPr>
        <w:t>two-year</w:t>
      </w:r>
      <w:r w:rsidR="006E7A3A">
        <w:rPr>
          <w:sz w:val="24"/>
          <w:szCs w:val="24"/>
        </w:rPr>
        <w:t xml:space="preserve"> TCU program</w:t>
      </w:r>
      <w:r w:rsidR="005640D1">
        <w:rPr>
          <w:sz w:val="24"/>
          <w:szCs w:val="24"/>
        </w:rPr>
        <w:t>.</w:t>
      </w:r>
    </w:p>
    <w:p w14:paraId="198B9CB6" w14:textId="77777777" w:rsidR="00DE4E0B" w:rsidRPr="00771BC8" w:rsidRDefault="00DE4E0B" w:rsidP="00DE4E0B">
      <w:pPr>
        <w:spacing w:after="0" w:line="240" w:lineRule="auto"/>
        <w:rPr>
          <w:sz w:val="24"/>
          <w:szCs w:val="24"/>
          <w:u w:val="single"/>
        </w:rPr>
      </w:pPr>
    </w:p>
    <w:p w14:paraId="1C07B541" w14:textId="25D8329F" w:rsidR="00DE4E0B" w:rsidRPr="003D1360" w:rsidRDefault="00DE4E0B" w:rsidP="00DE4E0B">
      <w:pPr>
        <w:spacing w:after="0" w:line="240" w:lineRule="auto"/>
        <w:rPr>
          <w:color w:val="FF0000"/>
          <w:sz w:val="24"/>
          <w:szCs w:val="24"/>
        </w:rPr>
      </w:pPr>
      <w:r w:rsidRPr="008E1469">
        <w:rPr>
          <w:sz w:val="24"/>
          <w:szCs w:val="24"/>
        </w:rPr>
        <w:t>Currently, there are 3</w:t>
      </w:r>
      <w:r w:rsidR="00F700B6">
        <w:rPr>
          <w:sz w:val="24"/>
          <w:szCs w:val="24"/>
        </w:rPr>
        <w:t>6</w:t>
      </w:r>
      <w:r w:rsidRPr="008E1469">
        <w:rPr>
          <w:sz w:val="24"/>
          <w:szCs w:val="24"/>
        </w:rPr>
        <w:t xml:space="preserve"> TCUs </w:t>
      </w:r>
      <w:r>
        <w:rPr>
          <w:sz w:val="24"/>
          <w:szCs w:val="24"/>
        </w:rPr>
        <w:t>that serve more than 250 federally recognized tribes that are</w:t>
      </w:r>
      <w:r w:rsidRPr="008E1469">
        <w:rPr>
          <w:sz w:val="24"/>
          <w:szCs w:val="24"/>
        </w:rPr>
        <w:t xml:space="preserve"> primarily located in the western and central portions</w:t>
      </w:r>
      <w:r w:rsidR="002E10A6">
        <w:rPr>
          <w:sz w:val="24"/>
          <w:szCs w:val="24"/>
        </w:rPr>
        <w:t xml:space="preserve"> of the United States (</w:t>
      </w:r>
      <w:r w:rsidR="001422AC">
        <w:rPr>
          <w:sz w:val="24"/>
          <w:szCs w:val="24"/>
        </w:rPr>
        <w:t xml:space="preserve">see </w:t>
      </w:r>
      <w:r w:rsidR="00FC0917">
        <w:rPr>
          <w:sz w:val="24"/>
          <w:szCs w:val="24"/>
        </w:rPr>
        <w:t>Appendix A)</w:t>
      </w:r>
      <w:r w:rsidRPr="008E1469">
        <w:rPr>
          <w:sz w:val="24"/>
          <w:szCs w:val="24"/>
        </w:rPr>
        <w:t>.</w:t>
      </w:r>
      <w:r w:rsidR="00473532">
        <w:rPr>
          <w:sz w:val="24"/>
          <w:szCs w:val="24"/>
        </w:rPr>
        <w:t>[4</w:t>
      </w:r>
      <w:r>
        <w:rPr>
          <w:sz w:val="24"/>
          <w:szCs w:val="24"/>
        </w:rPr>
        <w:t>]</w:t>
      </w:r>
      <w:r w:rsidR="00542ECF">
        <w:rPr>
          <w:sz w:val="24"/>
          <w:szCs w:val="24"/>
        </w:rPr>
        <w:t xml:space="preserve"> This distribution </w:t>
      </w:r>
      <w:r w:rsidR="00D007AC">
        <w:rPr>
          <w:sz w:val="24"/>
          <w:szCs w:val="24"/>
        </w:rPr>
        <w:t xml:space="preserve">approximates the geographic representation of the AIAN population across the country. </w:t>
      </w:r>
      <w:r w:rsidR="00DA367A">
        <w:rPr>
          <w:sz w:val="24"/>
          <w:szCs w:val="24"/>
        </w:rPr>
        <w:t>According to the Centers for Disease Control and Prevention (CDC), the states with</w:t>
      </w:r>
      <w:r w:rsidR="00015AAF">
        <w:rPr>
          <w:sz w:val="24"/>
          <w:szCs w:val="24"/>
        </w:rPr>
        <w:t xml:space="preserve"> the highest AIAN population are Alaska, Oklahoma, New Mexico, South Dakota, and Montana</w:t>
      </w:r>
      <w:r w:rsidR="00E23578">
        <w:rPr>
          <w:sz w:val="24"/>
          <w:szCs w:val="24"/>
        </w:rPr>
        <w:t>.</w:t>
      </w:r>
      <w:r w:rsidR="00473532">
        <w:rPr>
          <w:sz w:val="24"/>
          <w:szCs w:val="24"/>
        </w:rPr>
        <w:t>[5</w:t>
      </w:r>
      <w:r w:rsidR="008618EF">
        <w:rPr>
          <w:sz w:val="24"/>
          <w:szCs w:val="24"/>
        </w:rPr>
        <w:t>]</w:t>
      </w:r>
    </w:p>
    <w:p w14:paraId="6EC14EDC" w14:textId="77777777" w:rsidR="00DE4E0B" w:rsidRPr="008E1469" w:rsidRDefault="00DE4E0B" w:rsidP="00DE4E0B">
      <w:pPr>
        <w:spacing w:after="0" w:line="240" w:lineRule="auto"/>
        <w:rPr>
          <w:sz w:val="24"/>
          <w:szCs w:val="24"/>
          <w:u w:val="single"/>
        </w:rPr>
      </w:pPr>
    </w:p>
    <w:p w14:paraId="08FB3C5F" w14:textId="6661F5B7" w:rsidR="008618EF" w:rsidRDefault="00DE4E0B" w:rsidP="008618EF">
      <w:pPr>
        <w:spacing w:after="0" w:line="240" w:lineRule="auto"/>
        <w:rPr>
          <w:sz w:val="24"/>
          <w:szCs w:val="24"/>
        </w:rPr>
      </w:pPr>
      <w:r w:rsidRPr="008618EF">
        <w:rPr>
          <w:sz w:val="24"/>
          <w:szCs w:val="24"/>
        </w:rPr>
        <w:t>In 2010, TCUs served 19,070 full and part-time students, most of whom are AIANs living on or near a reservation community. TCUs vary in size, ranging from fewer than 50 students t</w:t>
      </w:r>
      <w:r w:rsidR="003967B6" w:rsidRPr="008618EF">
        <w:rPr>
          <w:sz w:val="24"/>
          <w:szCs w:val="24"/>
        </w:rPr>
        <w:t>o some having more than 2,000</w:t>
      </w:r>
      <w:r w:rsidR="008618EF" w:rsidRPr="008618EF">
        <w:rPr>
          <w:sz w:val="24"/>
          <w:szCs w:val="24"/>
        </w:rPr>
        <w:t xml:space="preserve">. During the same academic year, TCUs offered 358 apprenticeship, diploma, certificate, and degree programs in 36 major disciplines. All TCUs offer associate’s degree programs, 11 offer bachelor’s degree programs, and only 2 have master’s degree </w:t>
      </w:r>
      <w:r w:rsidR="008618EF" w:rsidRPr="008618EF">
        <w:rPr>
          <w:sz w:val="24"/>
          <w:szCs w:val="24"/>
        </w:rPr>
        <w:lastRenderedPageBreak/>
        <w:t>program</w:t>
      </w:r>
      <w:r w:rsidR="00AA4761">
        <w:rPr>
          <w:sz w:val="24"/>
          <w:szCs w:val="24"/>
        </w:rPr>
        <w:t>s</w:t>
      </w:r>
      <w:r w:rsidR="008618EF" w:rsidRPr="008618EF">
        <w:rPr>
          <w:sz w:val="24"/>
          <w:szCs w:val="24"/>
        </w:rPr>
        <w:t>.</w:t>
      </w:r>
      <w:r w:rsidR="00C76E53">
        <w:rPr>
          <w:sz w:val="24"/>
          <w:szCs w:val="24"/>
        </w:rPr>
        <w:t xml:space="preserve">  All TCUs are either accredited or a candidate for accreditation by a regional institutional accrediting association that is recognized by th</w:t>
      </w:r>
      <w:r w:rsidR="00E23578">
        <w:rPr>
          <w:sz w:val="24"/>
          <w:szCs w:val="24"/>
        </w:rPr>
        <w:t>e U.S. Department of Education.</w:t>
      </w:r>
    </w:p>
    <w:p w14:paraId="16A0C249" w14:textId="77777777" w:rsidR="00B60429" w:rsidRPr="008618EF" w:rsidRDefault="00B60429" w:rsidP="008618EF">
      <w:pPr>
        <w:spacing w:after="0" w:line="240" w:lineRule="auto"/>
        <w:rPr>
          <w:sz w:val="24"/>
          <w:szCs w:val="24"/>
        </w:rPr>
      </w:pPr>
    </w:p>
    <w:p w14:paraId="0D49821A" w14:textId="77777777" w:rsidR="00B60429" w:rsidRPr="00140321" w:rsidRDefault="00B60429" w:rsidP="00B60429">
      <w:pPr>
        <w:spacing w:after="0" w:line="240" w:lineRule="auto"/>
        <w:rPr>
          <w:b/>
          <w:sz w:val="24"/>
          <w:szCs w:val="24"/>
          <w:u w:val="single"/>
        </w:rPr>
      </w:pPr>
      <w:r w:rsidRPr="005934C7">
        <w:rPr>
          <w:rStyle w:val="Heading1Char"/>
        </w:rPr>
        <w:t>What is unique about TCUs?</w:t>
      </w:r>
    </w:p>
    <w:p w14:paraId="5810CA14" w14:textId="06DA2E25" w:rsidR="00B60429" w:rsidRDefault="00B60429" w:rsidP="00B60429">
      <w:pPr>
        <w:spacing w:after="0" w:line="240" w:lineRule="auto"/>
        <w:rPr>
          <w:sz w:val="24"/>
          <w:szCs w:val="24"/>
        </w:rPr>
      </w:pPr>
      <w:r w:rsidRPr="007B6C8D">
        <w:rPr>
          <w:sz w:val="24"/>
          <w:szCs w:val="24"/>
        </w:rPr>
        <w:t xml:space="preserve">Tribal identity </w:t>
      </w:r>
      <w:r>
        <w:rPr>
          <w:sz w:val="24"/>
          <w:szCs w:val="24"/>
        </w:rPr>
        <w:t>and preservation is at the core</w:t>
      </w:r>
      <w:r w:rsidRPr="007B6C8D">
        <w:rPr>
          <w:sz w:val="24"/>
          <w:szCs w:val="24"/>
        </w:rPr>
        <w:t xml:space="preserve"> of every TCU, and all share the mission of tribal self-determination and service to their respective communities.</w:t>
      </w:r>
      <w:r>
        <w:rPr>
          <w:sz w:val="24"/>
          <w:szCs w:val="24"/>
        </w:rPr>
        <w:t>[6</w:t>
      </w:r>
      <w:r w:rsidR="005640D1">
        <w:rPr>
          <w:sz w:val="24"/>
          <w:szCs w:val="24"/>
        </w:rPr>
        <w:t>]</w:t>
      </w:r>
    </w:p>
    <w:p w14:paraId="172548AB" w14:textId="77777777" w:rsidR="00B60429" w:rsidRDefault="00B60429" w:rsidP="00B60429">
      <w:pPr>
        <w:spacing w:after="0" w:line="240" w:lineRule="auto"/>
        <w:rPr>
          <w:sz w:val="24"/>
          <w:szCs w:val="24"/>
        </w:rPr>
      </w:pPr>
    </w:p>
    <w:p w14:paraId="2947B219" w14:textId="08BF91F8" w:rsidR="006B5727" w:rsidRPr="003D6B6C" w:rsidRDefault="00B60429" w:rsidP="005640D1">
      <w:pPr>
        <w:spacing w:after="0" w:line="240" w:lineRule="auto"/>
        <w:rPr>
          <w:sz w:val="24"/>
          <w:szCs w:val="24"/>
        </w:rPr>
      </w:pPr>
      <w:r w:rsidRPr="00502D45">
        <w:rPr>
          <w:sz w:val="24"/>
          <w:szCs w:val="24"/>
        </w:rPr>
        <w:t>TCUs incorporate</w:t>
      </w:r>
      <w:r>
        <w:rPr>
          <w:sz w:val="24"/>
          <w:szCs w:val="24"/>
        </w:rPr>
        <w:t xml:space="preserve"> culturally relevant curricula and several TCUs require relevant courses in these areas.  For example, Oglala Lakota College (OLC), located in western South Dakota has a Lakota Studies Department and all students are required to take courses, such as Lakota Language, Culture, and History.</w:t>
      </w:r>
    </w:p>
    <w:p w14:paraId="7BB8868A" w14:textId="3CD688C3" w:rsidR="00DE4E0B" w:rsidRDefault="0002150E" w:rsidP="00B60429">
      <w:pPr>
        <w:spacing w:after="0" w:line="240" w:lineRule="auto"/>
        <w:ind w:left="4500"/>
        <w:rPr>
          <w:sz w:val="24"/>
          <w:szCs w:val="24"/>
        </w:rPr>
      </w:pPr>
      <w:r w:rsidRPr="00CD756C">
        <w:rPr>
          <w:noProof/>
          <w:sz w:val="24"/>
          <w:szCs w:val="24"/>
        </w:rPr>
        <mc:AlternateContent>
          <mc:Choice Requires="wps">
            <w:drawing>
              <wp:inline distT="0" distB="0" distL="0" distR="0" wp14:anchorId="302CE9E6" wp14:editId="390320AB">
                <wp:extent cx="3028950" cy="2203450"/>
                <wp:effectExtent l="0" t="0" r="1905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203450"/>
                        </a:xfrm>
                        <a:prstGeom prst="rect">
                          <a:avLst/>
                        </a:prstGeom>
                        <a:solidFill>
                          <a:srgbClr val="FFFFFF"/>
                        </a:solidFill>
                        <a:ln w="9525">
                          <a:solidFill>
                            <a:srgbClr val="000000"/>
                          </a:solidFill>
                          <a:miter lim="800000"/>
                          <a:headEnd/>
                          <a:tailEnd/>
                        </a:ln>
                      </wps:spPr>
                      <wps:txbx>
                        <w:txbxContent>
                          <w:p w14:paraId="2202D0E7" w14:textId="209A5F84" w:rsidR="00CD756C" w:rsidRPr="00E23578" w:rsidRDefault="00CD756C">
                            <w:pPr>
                              <w:rPr>
                                <w:i/>
                                <w:sz w:val="24"/>
                                <w:szCs w:val="24"/>
                              </w:rPr>
                            </w:pPr>
                            <w:r w:rsidRPr="00E23578">
                              <w:rPr>
                                <w:i/>
                                <w:sz w:val="24"/>
                                <w:szCs w:val="24"/>
                              </w:rPr>
                              <w:t>OLC offers a course titled “Traditional Plants, Foods, and Herbs.”  In this course, students learn the importance of making use of what’s available in the surroundings. The instructors take students to areas of the reservation that have an abundance of plants that were used for medicinal purposes. “You learn what type of environment they flourish in, what they look like, when they are ready for harvest, and all the</w:t>
                            </w:r>
                            <w:r w:rsidR="00283DFE" w:rsidRPr="00E23578">
                              <w:rPr>
                                <w:i/>
                                <w:sz w:val="24"/>
                                <w:szCs w:val="24"/>
                              </w:rPr>
                              <w:t xml:space="preserve"> various uses</w:t>
                            </w:r>
                            <w:r w:rsidR="006F6D98" w:rsidRPr="00E23578">
                              <w:rPr>
                                <w:i/>
                                <w:sz w:val="24"/>
                                <w:szCs w:val="24"/>
                              </w:rPr>
                              <w:t>.</w:t>
                            </w:r>
                            <w:r w:rsidR="005640D1">
                              <w:rPr>
                                <w:i/>
                                <w:sz w:val="24"/>
                                <w:szCs w:val="24"/>
                              </w:rPr>
                              <w:t>” (S</w:t>
                            </w:r>
                            <w:r w:rsidR="00283DFE" w:rsidRPr="00E23578">
                              <w:rPr>
                                <w:i/>
                                <w:sz w:val="24"/>
                                <w:szCs w:val="24"/>
                              </w:rPr>
                              <w:t>tudent at OLC).</w:t>
                            </w:r>
                          </w:p>
                        </w:txbxContent>
                      </wps:txbx>
                      <wps:bodyPr rot="0" vert="horz" wrap="square" lIns="91440" tIns="45720" rIns="91440" bIns="45720" anchor="t" anchorCtr="0">
                        <a:noAutofit/>
                      </wps:bodyPr>
                    </wps:wsp>
                  </a:graphicData>
                </a:graphic>
              </wp:inline>
            </w:drawing>
          </mc:Choice>
          <mc:Fallback>
            <w:pict>
              <v:shape w14:anchorId="302CE9E6" id="_x0000_s1027" type="#_x0000_t202" style="width:238.5pt;height: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">
                <v:textbox>
                  <w:txbxContent>
                    <w:p w14:paraId="2202D0E7" w14:textId="209A5F84" w:rsidR="00CD756C" w:rsidRPr="00E23578" w:rsidRDefault="00CD756C">
                      <w:pPr>
                        <w:rPr>
                          <w:i/>
                          <w:sz w:val="24"/>
                          <w:szCs w:val="24"/>
                        </w:rPr>
                      </w:pPr>
                      <w:r w:rsidRPr="00E23578">
                        <w:rPr>
                          <w:i/>
                          <w:sz w:val="24"/>
                          <w:szCs w:val="24"/>
                        </w:rPr>
                        <w:t>OLC offers a course titled “Traditional Plants, Foods, and Herbs.”  In this course, students learn the importance of making use of what’s available in the surroundings. The instructors take students to areas of the reservation that have an abundance of plants that were used for medicinal purposes. “You learn what type of environment they flourish in, what they look like, when they are ready for harvest, and all the</w:t>
                      </w:r>
                      <w:r w:rsidR="00283DFE" w:rsidRPr="00E23578">
                        <w:rPr>
                          <w:i/>
                          <w:sz w:val="24"/>
                          <w:szCs w:val="24"/>
                        </w:rPr>
                        <w:t xml:space="preserve"> various uses</w:t>
                      </w:r>
                      <w:r w:rsidR="006F6D98" w:rsidRPr="00E23578">
                        <w:rPr>
                          <w:i/>
                          <w:sz w:val="24"/>
                          <w:szCs w:val="24"/>
                        </w:rPr>
                        <w:t>.</w:t>
                      </w:r>
                      <w:r w:rsidR="005640D1">
                        <w:rPr>
                          <w:i/>
                          <w:sz w:val="24"/>
                          <w:szCs w:val="24"/>
                        </w:rPr>
                        <w:t>” (S</w:t>
                      </w:r>
                      <w:r w:rsidR="00283DFE" w:rsidRPr="00E23578">
                        <w:rPr>
                          <w:i/>
                          <w:sz w:val="24"/>
                          <w:szCs w:val="24"/>
                        </w:rPr>
                        <w:t>tudent at OLC).</w:t>
                      </w:r>
                    </w:p>
                  </w:txbxContent>
                </v:textbox>
                <w10:anchorlock/>
              </v:shape>
            </w:pict>
          </mc:Fallback>
        </mc:AlternateContent>
      </w:r>
    </w:p>
    <w:p w14:paraId="7627B567" w14:textId="77777777" w:rsidR="00B60429" w:rsidRDefault="00B60429" w:rsidP="00DE4E0B">
      <w:pPr>
        <w:spacing w:after="0" w:line="240" w:lineRule="auto"/>
        <w:rPr>
          <w:sz w:val="24"/>
          <w:szCs w:val="24"/>
        </w:rPr>
      </w:pPr>
    </w:p>
    <w:p w14:paraId="710E4A93" w14:textId="4B6ED67F" w:rsidR="005C48D1" w:rsidRDefault="00B60429" w:rsidP="00DE4E0B">
      <w:pPr>
        <w:spacing w:after="0" w:line="240" w:lineRule="auto"/>
        <w:rPr>
          <w:sz w:val="24"/>
          <w:szCs w:val="24"/>
        </w:rPr>
      </w:pPr>
      <w:r w:rsidRPr="00283DFE">
        <w:rPr>
          <w:sz w:val="24"/>
          <w:szCs w:val="24"/>
        </w:rPr>
        <w:t>AIAN cultures have r</w:t>
      </w:r>
      <w:r>
        <w:rPr>
          <w:sz w:val="24"/>
          <w:szCs w:val="24"/>
        </w:rPr>
        <w:t xml:space="preserve">elied on oral teachings to pass </w:t>
      </w:r>
      <w:r w:rsidRPr="00283DFE">
        <w:rPr>
          <w:sz w:val="24"/>
          <w:szCs w:val="24"/>
        </w:rPr>
        <w:t>on knowledge from one generation to the</w:t>
      </w:r>
      <w:r>
        <w:rPr>
          <w:sz w:val="24"/>
          <w:szCs w:val="24"/>
        </w:rPr>
        <w:t xml:space="preserve"> </w:t>
      </w:r>
      <w:r w:rsidRPr="00283DFE">
        <w:rPr>
          <w:sz w:val="24"/>
          <w:szCs w:val="24"/>
        </w:rPr>
        <w:t xml:space="preserve">next.  This is still an </w:t>
      </w:r>
      <w:r>
        <w:rPr>
          <w:sz w:val="24"/>
          <w:szCs w:val="24"/>
        </w:rPr>
        <w:t>important concept among tribes.</w:t>
      </w:r>
    </w:p>
    <w:p w14:paraId="7251EFC3" w14:textId="77777777" w:rsidR="00B60429" w:rsidRDefault="00B60429" w:rsidP="00DE4E0B">
      <w:pPr>
        <w:spacing w:after="0" w:line="240" w:lineRule="auto"/>
        <w:rPr>
          <w:sz w:val="24"/>
          <w:szCs w:val="24"/>
        </w:rPr>
      </w:pPr>
    </w:p>
    <w:p w14:paraId="2DFE7B61" w14:textId="77777777" w:rsidR="00B60429" w:rsidRDefault="00B60429" w:rsidP="00DE4E0B">
      <w:pPr>
        <w:spacing w:after="0" w:line="240" w:lineRule="auto"/>
        <w:rPr>
          <w:sz w:val="24"/>
          <w:szCs w:val="24"/>
        </w:rPr>
        <w:sectPr w:rsidR="00B60429">
          <w:footerReference w:type="default" r:id="rId8"/>
          <w:pgSz w:w="12240" w:h="15840"/>
          <w:pgMar w:top="1440" w:right="1440" w:bottom="1440" w:left="1440" w:header="720" w:footer="720" w:gutter="0"/>
          <w:cols w:space="720"/>
          <w:docGrid w:linePitch="360"/>
        </w:sectPr>
      </w:pPr>
    </w:p>
    <w:p w14:paraId="2F464221" w14:textId="2E429585" w:rsidR="00283DFE" w:rsidRDefault="0002150E" w:rsidP="00283DFE">
      <w:pPr>
        <w:spacing w:after="0" w:line="240" w:lineRule="auto"/>
        <w:rPr>
          <w:sz w:val="24"/>
          <w:szCs w:val="24"/>
        </w:rPr>
      </w:pPr>
      <w:r w:rsidRPr="00CD756C">
        <w:rPr>
          <w:noProof/>
        </w:rPr>
        <mc:AlternateContent>
          <mc:Choice Requires="wps">
            <w:drawing>
              <wp:inline distT="0" distB="0" distL="0" distR="0" wp14:anchorId="70FA665B" wp14:editId="768BDDAA">
                <wp:extent cx="3073400" cy="1358900"/>
                <wp:effectExtent l="0" t="0" r="12700"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1358900"/>
                        </a:xfrm>
                        <a:prstGeom prst="rect">
                          <a:avLst/>
                        </a:prstGeom>
                        <a:solidFill>
                          <a:srgbClr val="FFFFFF"/>
                        </a:solidFill>
                        <a:ln w="9525">
                          <a:solidFill>
                            <a:srgbClr val="000000"/>
                          </a:solidFill>
                          <a:miter lim="800000"/>
                          <a:headEnd/>
                          <a:tailEnd/>
                        </a:ln>
                      </wps:spPr>
                      <wps:txbx>
                        <w:txbxContent>
                          <w:p w14:paraId="7B64F6D9" w14:textId="3917293D" w:rsidR="00CD756C" w:rsidRPr="00815BA4" w:rsidRDefault="00283DFE">
                            <w:pPr>
                              <w:rPr>
                                <w:i/>
                                <w:sz w:val="24"/>
                                <w:szCs w:val="24"/>
                              </w:rPr>
                            </w:pPr>
                            <w:r w:rsidRPr="00815BA4">
                              <w:rPr>
                                <w:i/>
                                <w:sz w:val="24"/>
                                <w:szCs w:val="24"/>
                              </w:rPr>
                              <w:t>Aaniiih Nakoda College located in Montana invites tribal elders to pass on teachings through film and/or audio recordings. They are able to preserve the teachings from these elders and incorporate thes</w:t>
                            </w:r>
                            <w:r w:rsidR="00473532">
                              <w:rPr>
                                <w:i/>
                                <w:sz w:val="24"/>
                                <w:szCs w:val="24"/>
                              </w:rPr>
                              <w:t>e into their cultural courses.[6</w:t>
                            </w:r>
                            <w:r w:rsidRPr="00815BA4">
                              <w:rPr>
                                <w:i/>
                                <w:sz w:val="24"/>
                                <w:szCs w:val="24"/>
                              </w:rPr>
                              <w:t>]</w:t>
                            </w:r>
                          </w:p>
                        </w:txbxContent>
                      </wps:txbx>
                      <wps:bodyPr rot="0" vert="horz" wrap="square" lIns="91440" tIns="45720" rIns="91440" bIns="45720" anchor="t" anchorCtr="0">
                        <a:noAutofit/>
                      </wps:bodyPr>
                    </wps:wsp>
                  </a:graphicData>
                </a:graphic>
              </wp:inline>
            </w:drawing>
          </mc:Choice>
          <mc:Fallback>
            <w:pict>
              <v:shape w14:anchorId="70FA665B" id="_x0000_s1028" type="#_x0000_t202" style="width:242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">
                <v:textbox>
                  <w:txbxContent>
                    <w:p w14:paraId="7B64F6D9" w14:textId="3917293D" w:rsidR="00CD756C" w:rsidRPr="00815BA4" w:rsidRDefault="00283DFE">
                      <w:pPr>
                        <w:rPr>
                          <w:i/>
                          <w:sz w:val="24"/>
                          <w:szCs w:val="24"/>
                        </w:rPr>
                      </w:pPr>
                      <w:r w:rsidRPr="00815BA4">
                        <w:rPr>
                          <w:i/>
                          <w:sz w:val="24"/>
                          <w:szCs w:val="24"/>
                        </w:rPr>
                        <w:t>Aaniiih Nakoda College located in Montana invites tribal elders to pass on teachings through film and/or audio recordings. They are able to preserve the teachings from these elders and incorporate thes</w:t>
                      </w:r>
                      <w:r w:rsidR="00473532">
                        <w:rPr>
                          <w:i/>
                          <w:sz w:val="24"/>
                          <w:szCs w:val="24"/>
                        </w:rPr>
                        <w:t>e into their cultural courses.[6</w:t>
                      </w:r>
                      <w:r w:rsidRPr="00815BA4">
                        <w:rPr>
                          <w:i/>
                          <w:sz w:val="24"/>
                          <w:szCs w:val="24"/>
                        </w:rPr>
                        <w:t>]</w:t>
                      </w:r>
                    </w:p>
                  </w:txbxContent>
                </v:textbox>
                <w10:anchorlock/>
              </v:shape>
            </w:pict>
          </mc:Fallback>
        </mc:AlternateContent>
      </w:r>
    </w:p>
    <w:p w14:paraId="7F778745" w14:textId="77777777" w:rsidR="00B60429" w:rsidRDefault="0002150E" w:rsidP="00283DFE">
      <w:pPr>
        <w:spacing w:after="0" w:line="240" w:lineRule="auto"/>
        <w:rPr>
          <w:rStyle w:val="Heading2Char"/>
        </w:rPr>
      </w:pPr>
      <w:r w:rsidRPr="009F4513">
        <w:rPr>
          <w:noProof/>
        </w:rPr>
        <mc:AlternateContent>
          <mc:Choice Requires="wps">
            <w:drawing>
              <wp:inline distT="0" distB="0" distL="0" distR="0" wp14:anchorId="4E9976BD" wp14:editId="29F8626A">
                <wp:extent cx="2686050" cy="1404620"/>
                <wp:effectExtent l="0" t="0" r="19050" b="2349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solidFill>
                          <a:srgbClr val="FFFFFF"/>
                        </a:solidFill>
                        <a:ln w="9525">
                          <a:solidFill>
                            <a:srgbClr val="000000"/>
                          </a:solidFill>
                          <a:miter lim="800000"/>
                          <a:headEnd/>
                          <a:tailEnd/>
                        </a:ln>
                      </wps:spPr>
                      <wps:txbx>
                        <w:txbxContent>
                          <w:p w14:paraId="3207C44A" w14:textId="77777777" w:rsidR="009F4513" w:rsidRPr="009F4513" w:rsidRDefault="009F4513">
                            <w:pPr>
                              <w:rPr>
                                <w:i/>
                              </w:rPr>
                            </w:pPr>
                            <w:r w:rsidRPr="009F4513">
                              <w:rPr>
                                <w:i/>
                                <w:sz w:val="24"/>
                                <w:szCs w:val="24"/>
                              </w:rPr>
                              <w:t>It is common among TCUs to have on-site daycare facilities as many of their students are caretakers, and daycare is often scarce or not affordable. To overcome this obstacle, TCUs decided it is in the best interest of their students to provide free or reduced fee on-site daycare.</w:t>
                            </w:r>
                          </w:p>
                        </w:txbxContent>
                      </wps:txbx>
                      <wps:bodyPr rot="0" vert="horz" wrap="square" lIns="91440" tIns="45720" rIns="91440" bIns="45720" anchor="t" anchorCtr="0">
                        <a:spAutoFit/>
                      </wps:bodyPr>
                    </wps:wsp>
                  </a:graphicData>
                </a:graphic>
              </wp:inline>
            </w:drawing>
          </mc:Choice>
          <mc:Fallback>
            <w:pict>
              <v:shape w14:anchorId="4E9976BD" id="_x0000_s1029" type="#_x0000_t202" style="width:2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xOJgIAAEw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">
                <v:textbox style="mso-fit-shape-to-text:t">
                  <w:txbxContent>
                    <w:p w14:paraId="3207C44A" w14:textId="77777777" w:rsidR="009F4513" w:rsidRPr="009F4513" w:rsidRDefault="009F4513">
                      <w:pPr>
                        <w:rPr>
                          <w:i/>
                        </w:rPr>
                      </w:pPr>
                      <w:r w:rsidRPr="009F4513">
                        <w:rPr>
                          <w:i/>
                          <w:sz w:val="24"/>
                          <w:szCs w:val="24"/>
                        </w:rPr>
                        <w:t>It is common among TCUs to have on-site daycare facilities as many of their students are caretakers, and daycare is often scarce or not affordable. To overcome this obstacle, TCUs decided it is in the best interest of their students to provide free or reduced fee on-site daycare.</w:t>
                      </w:r>
                    </w:p>
                  </w:txbxContent>
                </v:textbox>
                <w10:anchorlock/>
              </v:shape>
            </w:pict>
          </mc:Fallback>
        </mc:AlternateContent>
      </w:r>
    </w:p>
    <w:p w14:paraId="759567AC" w14:textId="77777777" w:rsidR="00B60429" w:rsidRDefault="00B60429" w:rsidP="00283DFE">
      <w:pPr>
        <w:spacing w:after="0" w:line="240" w:lineRule="auto"/>
        <w:rPr>
          <w:rStyle w:val="Heading2Char"/>
        </w:rPr>
      </w:pPr>
    </w:p>
    <w:p w14:paraId="41CA8B99" w14:textId="77777777" w:rsidR="00B60429" w:rsidRDefault="00B60429" w:rsidP="00283DFE">
      <w:pPr>
        <w:spacing w:after="0" w:line="240" w:lineRule="auto"/>
        <w:rPr>
          <w:rStyle w:val="Heading2Char"/>
        </w:rPr>
        <w:sectPr w:rsidR="00B60429" w:rsidSect="00B60429">
          <w:type w:val="continuous"/>
          <w:pgSz w:w="12240" w:h="15840"/>
          <w:pgMar w:top="1440" w:right="1440" w:bottom="1440" w:left="1440" w:header="720" w:footer="720" w:gutter="0"/>
          <w:cols w:num="2" w:space="720"/>
          <w:docGrid w:linePitch="360"/>
        </w:sectPr>
      </w:pPr>
    </w:p>
    <w:p w14:paraId="3563ACE1" w14:textId="278D5F80" w:rsidR="00283DFE" w:rsidRPr="00957482" w:rsidRDefault="009F4513" w:rsidP="00283DFE">
      <w:pPr>
        <w:spacing w:after="0" w:line="240" w:lineRule="auto"/>
        <w:rPr>
          <w:b/>
          <w:sz w:val="24"/>
          <w:szCs w:val="24"/>
        </w:rPr>
      </w:pPr>
      <w:r w:rsidRPr="005934C7">
        <w:rPr>
          <w:rStyle w:val="Heading2Char"/>
        </w:rPr>
        <w:t>Other common traits of TCUs:</w:t>
      </w:r>
    </w:p>
    <w:p w14:paraId="4BEBF2C1" w14:textId="4E682517" w:rsidR="00DE4E0B" w:rsidRPr="009F4513" w:rsidRDefault="00DE4E0B" w:rsidP="009F4513">
      <w:pPr>
        <w:pStyle w:val="ListParagraph"/>
        <w:numPr>
          <w:ilvl w:val="0"/>
          <w:numId w:val="27"/>
        </w:numPr>
        <w:spacing w:after="0" w:line="240" w:lineRule="auto"/>
        <w:ind w:left="630"/>
        <w:rPr>
          <w:sz w:val="24"/>
          <w:szCs w:val="24"/>
        </w:rPr>
      </w:pPr>
      <w:r w:rsidRPr="009F4513">
        <w:rPr>
          <w:sz w:val="24"/>
          <w:szCs w:val="24"/>
        </w:rPr>
        <w:t xml:space="preserve">All TCUs began as </w:t>
      </w:r>
      <w:r w:rsidR="006E1560" w:rsidRPr="009F4513">
        <w:rPr>
          <w:sz w:val="24"/>
          <w:szCs w:val="24"/>
        </w:rPr>
        <w:t>two-year</w:t>
      </w:r>
      <w:r w:rsidRPr="009F4513">
        <w:rPr>
          <w:sz w:val="24"/>
          <w:szCs w:val="24"/>
        </w:rPr>
        <w:t xml:space="preserve"> institutions</w:t>
      </w:r>
    </w:p>
    <w:p w14:paraId="35CCA6BD" w14:textId="7F8B17B5" w:rsidR="00DE4E0B" w:rsidRDefault="00DE4E0B" w:rsidP="00DE4E0B">
      <w:pPr>
        <w:pStyle w:val="ListParagraph"/>
        <w:numPr>
          <w:ilvl w:val="0"/>
          <w:numId w:val="9"/>
        </w:numPr>
        <w:spacing w:after="0" w:line="240" w:lineRule="auto"/>
        <w:ind w:left="630"/>
        <w:rPr>
          <w:sz w:val="24"/>
          <w:szCs w:val="24"/>
        </w:rPr>
      </w:pPr>
      <w:r>
        <w:rPr>
          <w:sz w:val="24"/>
          <w:szCs w:val="24"/>
        </w:rPr>
        <w:t xml:space="preserve">Most are less than 25 years old </w:t>
      </w:r>
    </w:p>
    <w:p w14:paraId="07256539" w14:textId="5331C13F" w:rsidR="00DE4E0B" w:rsidRDefault="00DE4E0B" w:rsidP="00DE4E0B">
      <w:pPr>
        <w:pStyle w:val="ListParagraph"/>
        <w:numPr>
          <w:ilvl w:val="0"/>
          <w:numId w:val="9"/>
        </w:numPr>
        <w:spacing w:after="0" w:line="240" w:lineRule="auto"/>
        <w:ind w:left="630"/>
        <w:rPr>
          <w:sz w:val="24"/>
          <w:szCs w:val="24"/>
        </w:rPr>
      </w:pPr>
      <w:r>
        <w:rPr>
          <w:sz w:val="24"/>
          <w:szCs w:val="24"/>
        </w:rPr>
        <w:t>Relatively small student body that are predominately AIAN</w:t>
      </w:r>
    </w:p>
    <w:p w14:paraId="40A8F6E7" w14:textId="148F6EA1" w:rsidR="00DE4E0B" w:rsidRDefault="00DE4E0B" w:rsidP="00DE4E0B">
      <w:pPr>
        <w:pStyle w:val="ListParagraph"/>
        <w:numPr>
          <w:ilvl w:val="0"/>
          <w:numId w:val="9"/>
        </w:numPr>
        <w:spacing w:after="0" w:line="240" w:lineRule="auto"/>
        <w:ind w:left="630"/>
        <w:rPr>
          <w:sz w:val="24"/>
          <w:szCs w:val="24"/>
        </w:rPr>
      </w:pPr>
      <w:r>
        <w:rPr>
          <w:sz w:val="24"/>
          <w:szCs w:val="24"/>
        </w:rPr>
        <w:t>Located on remote reservations with no or minimal access to other colleges</w:t>
      </w:r>
    </w:p>
    <w:p w14:paraId="2D14C26D" w14:textId="109C1F48" w:rsidR="00DE4E0B" w:rsidRDefault="00DE4E0B" w:rsidP="00DE4E0B">
      <w:pPr>
        <w:pStyle w:val="ListParagraph"/>
        <w:numPr>
          <w:ilvl w:val="0"/>
          <w:numId w:val="9"/>
        </w:numPr>
        <w:spacing w:after="0" w:line="240" w:lineRule="auto"/>
        <w:ind w:left="630"/>
        <w:rPr>
          <w:sz w:val="24"/>
          <w:szCs w:val="24"/>
        </w:rPr>
      </w:pPr>
      <w:r>
        <w:rPr>
          <w:sz w:val="24"/>
          <w:szCs w:val="24"/>
        </w:rPr>
        <w:lastRenderedPageBreak/>
        <w:t>Chartered by their respe</w:t>
      </w:r>
      <w:r w:rsidR="006E1560">
        <w:rPr>
          <w:sz w:val="24"/>
          <w:szCs w:val="24"/>
        </w:rPr>
        <w:t xml:space="preserve">ctive tribe but independent of </w:t>
      </w:r>
      <w:r>
        <w:rPr>
          <w:sz w:val="24"/>
          <w:szCs w:val="24"/>
        </w:rPr>
        <w:t>tribal government</w:t>
      </w:r>
    </w:p>
    <w:p w14:paraId="1073A685" w14:textId="74CEB09A" w:rsidR="00DE4E0B" w:rsidRDefault="00DE4E0B" w:rsidP="00DE4E0B">
      <w:pPr>
        <w:pStyle w:val="ListParagraph"/>
        <w:numPr>
          <w:ilvl w:val="0"/>
          <w:numId w:val="9"/>
        </w:numPr>
        <w:spacing w:after="0" w:line="240" w:lineRule="auto"/>
        <w:ind w:left="630"/>
        <w:rPr>
          <w:sz w:val="24"/>
          <w:szCs w:val="24"/>
        </w:rPr>
      </w:pPr>
      <w:r>
        <w:rPr>
          <w:sz w:val="24"/>
          <w:szCs w:val="24"/>
        </w:rPr>
        <w:t xml:space="preserve">All have open admission policies </w:t>
      </w:r>
      <w:r w:rsidR="008618EF">
        <w:rPr>
          <w:sz w:val="24"/>
          <w:szCs w:val="24"/>
        </w:rPr>
        <w:t>(the only requirement is to have a high school diploma or GED certificate to be able to enroll at any TCU)</w:t>
      </w:r>
    </w:p>
    <w:p w14:paraId="3FC7E467" w14:textId="77777777" w:rsidR="005A2BBF" w:rsidRDefault="005A2BBF" w:rsidP="00DE4E0B">
      <w:pPr>
        <w:pStyle w:val="ListParagraph"/>
        <w:numPr>
          <w:ilvl w:val="0"/>
          <w:numId w:val="9"/>
        </w:numPr>
        <w:spacing w:after="0" w:line="240" w:lineRule="auto"/>
        <w:ind w:left="630"/>
        <w:rPr>
          <w:sz w:val="24"/>
          <w:szCs w:val="24"/>
        </w:rPr>
      </w:pPr>
      <w:r>
        <w:rPr>
          <w:sz w:val="24"/>
          <w:szCs w:val="24"/>
        </w:rPr>
        <w:t>Several offer GED tutoring and testing</w:t>
      </w:r>
    </w:p>
    <w:p w14:paraId="6B7ED2E1" w14:textId="1FD2D5FA" w:rsidR="000F126E" w:rsidRDefault="00DE4E0B" w:rsidP="00B60429">
      <w:pPr>
        <w:pStyle w:val="ListParagraph"/>
        <w:numPr>
          <w:ilvl w:val="0"/>
          <w:numId w:val="9"/>
        </w:numPr>
        <w:spacing w:after="0" w:line="240" w:lineRule="auto"/>
        <w:ind w:left="630"/>
        <w:rPr>
          <w:sz w:val="24"/>
          <w:szCs w:val="24"/>
        </w:rPr>
      </w:pPr>
      <w:r w:rsidRPr="00540A9D">
        <w:rPr>
          <w:sz w:val="24"/>
          <w:szCs w:val="24"/>
        </w:rPr>
        <w:t>Most TCUs do not actively recruit or have targeted efforts but instead rely on word of mouth</w:t>
      </w:r>
    </w:p>
    <w:p w14:paraId="12E2769B" w14:textId="77777777" w:rsidR="003E024D" w:rsidRPr="00B60429" w:rsidRDefault="003E024D" w:rsidP="003E024D">
      <w:pPr>
        <w:pStyle w:val="ListParagraph"/>
        <w:spacing w:after="0" w:line="240" w:lineRule="auto"/>
        <w:ind w:left="630"/>
        <w:rPr>
          <w:sz w:val="24"/>
          <w:szCs w:val="24"/>
        </w:rPr>
      </w:pPr>
    </w:p>
    <w:p w14:paraId="7B6CE3D1" w14:textId="77777777" w:rsidR="00C04F4F" w:rsidRDefault="00C04F4F" w:rsidP="00C04F4F">
      <w:pPr>
        <w:spacing w:after="0" w:line="240" w:lineRule="auto"/>
        <w:rPr>
          <w:sz w:val="24"/>
          <w:szCs w:val="24"/>
        </w:rPr>
      </w:pPr>
      <w:r>
        <w:rPr>
          <w:sz w:val="24"/>
          <w:szCs w:val="24"/>
        </w:rPr>
        <w:t>TCUs often serve multiple roles in their respective communities.  Not only do they make higher education possible, but have numerous progr</w:t>
      </w:r>
      <w:r w:rsidR="00A35072">
        <w:rPr>
          <w:sz w:val="24"/>
          <w:szCs w:val="24"/>
        </w:rPr>
        <w:t>ams to assist community members as well:</w:t>
      </w:r>
    </w:p>
    <w:p w14:paraId="1B6CC04A" w14:textId="77777777" w:rsidR="00A35072" w:rsidRDefault="00A35072" w:rsidP="00C04F4F">
      <w:pPr>
        <w:spacing w:after="0" w:line="240" w:lineRule="auto"/>
        <w:rPr>
          <w:sz w:val="24"/>
          <w:szCs w:val="24"/>
        </w:rPr>
      </w:pPr>
    </w:p>
    <w:p w14:paraId="361997FF" w14:textId="3857D280" w:rsidR="00C04F4F" w:rsidRPr="000D144A" w:rsidRDefault="00C04F4F" w:rsidP="001505CC">
      <w:pPr>
        <w:pStyle w:val="ListParagraph"/>
        <w:numPr>
          <w:ilvl w:val="0"/>
          <w:numId w:val="20"/>
        </w:numPr>
        <w:spacing w:after="0" w:line="240" w:lineRule="auto"/>
        <w:ind w:left="360" w:firstLine="0"/>
        <w:rPr>
          <w:color w:val="FF0000"/>
          <w:sz w:val="24"/>
          <w:szCs w:val="24"/>
        </w:rPr>
      </w:pPr>
      <w:r>
        <w:rPr>
          <w:sz w:val="24"/>
          <w:szCs w:val="24"/>
        </w:rPr>
        <w:t>Several TCUs off</w:t>
      </w:r>
      <w:r w:rsidR="007404CE">
        <w:rPr>
          <w:sz w:val="24"/>
          <w:szCs w:val="24"/>
        </w:rPr>
        <w:t>er General Equivalency Diploma</w:t>
      </w:r>
      <w:r>
        <w:rPr>
          <w:sz w:val="24"/>
          <w:szCs w:val="24"/>
        </w:rPr>
        <w:t xml:space="preserve"> (GED) preparation and testing</w:t>
      </w:r>
      <w:r w:rsidR="000D144A">
        <w:rPr>
          <w:sz w:val="24"/>
          <w:szCs w:val="24"/>
        </w:rPr>
        <w:t>.</w:t>
      </w:r>
      <w:r w:rsidR="00473532">
        <w:rPr>
          <w:sz w:val="24"/>
          <w:szCs w:val="24"/>
        </w:rPr>
        <w:t>[6</w:t>
      </w:r>
      <w:r w:rsidR="007404CE">
        <w:rPr>
          <w:sz w:val="24"/>
          <w:szCs w:val="24"/>
        </w:rPr>
        <w:t>]</w:t>
      </w:r>
    </w:p>
    <w:p w14:paraId="0EE8E58F" w14:textId="0F3F35A7" w:rsidR="000D144A" w:rsidRPr="000D144A" w:rsidRDefault="000D144A" w:rsidP="00C04F4F">
      <w:pPr>
        <w:pStyle w:val="ListParagraph"/>
        <w:numPr>
          <w:ilvl w:val="0"/>
          <w:numId w:val="20"/>
        </w:numPr>
        <w:spacing w:after="0" w:line="240" w:lineRule="auto"/>
        <w:rPr>
          <w:color w:val="FF0000"/>
          <w:sz w:val="24"/>
          <w:szCs w:val="24"/>
        </w:rPr>
      </w:pPr>
      <w:r>
        <w:rPr>
          <w:sz w:val="24"/>
          <w:szCs w:val="24"/>
        </w:rPr>
        <w:t>Many open their doors to the public and allow for use of computer labs to assist with creating resumes, filling out online applications for various programs, and printing services. Usually this is free to the public, as long as the service i</w:t>
      </w:r>
      <w:r w:rsidR="00B60429">
        <w:rPr>
          <w:sz w:val="24"/>
          <w:szCs w:val="24"/>
        </w:rPr>
        <w:t xml:space="preserve">s being used </w:t>
      </w:r>
      <w:r>
        <w:rPr>
          <w:sz w:val="24"/>
          <w:szCs w:val="24"/>
        </w:rPr>
        <w:t>appropriately.</w:t>
      </w:r>
      <w:r w:rsidR="00B60429" w:rsidRPr="00B60429">
        <w:rPr>
          <w:noProof/>
          <w:sz w:val="24"/>
          <w:szCs w:val="24"/>
        </w:rPr>
        <w:t xml:space="preserve"> </w:t>
      </w:r>
    </w:p>
    <w:p w14:paraId="4CD982A1" w14:textId="39DC24BA" w:rsidR="00B60429" w:rsidRPr="000D144A" w:rsidRDefault="00B60429" w:rsidP="00B60429">
      <w:pPr>
        <w:pStyle w:val="ListParagraph"/>
        <w:numPr>
          <w:ilvl w:val="0"/>
          <w:numId w:val="20"/>
        </w:numPr>
        <w:spacing w:after="0" w:line="240" w:lineRule="auto"/>
        <w:rPr>
          <w:color w:val="FF0000"/>
          <w:sz w:val="24"/>
          <w:szCs w:val="24"/>
        </w:rPr>
      </w:pPr>
      <w:r>
        <w:rPr>
          <w:sz w:val="24"/>
          <w:szCs w:val="24"/>
        </w:rPr>
        <w:t xml:space="preserve">TCUs often partner with local tribal programs and allow use of classrooms for various services, such as finance and budgeting classes, health programs, community gatherings and meetings. </w:t>
      </w:r>
    </w:p>
    <w:p w14:paraId="6B8F0AC6" w14:textId="35E85BBC" w:rsidR="00B60429" w:rsidRPr="00F054B8" w:rsidRDefault="00B60429" w:rsidP="006C24E4">
      <w:pPr>
        <w:pStyle w:val="ListParagraph"/>
        <w:numPr>
          <w:ilvl w:val="0"/>
          <w:numId w:val="20"/>
        </w:numPr>
        <w:spacing w:after="0" w:line="240" w:lineRule="auto"/>
        <w:rPr>
          <w:color w:val="FF0000"/>
          <w:sz w:val="24"/>
          <w:szCs w:val="24"/>
        </w:rPr>
      </w:pPr>
      <w:r>
        <w:rPr>
          <w:sz w:val="24"/>
          <w:szCs w:val="24"/>
        </w:rPr>
        <w:t>As part of the mission to preserve and expand cultural teaching and learning, TCUs are partnering with other programs and host language and cultural immersion programs, mostly in early education.</w:t>
      </w:r>
      <w:r w:rsidR="006C24E4" w:rsidRPr="009F4513">
        <w:rPr>
          <w:noProof/>
          <w:sz w:val="24"/>
          <w:szCs w:val="24"/>
        </w:rPr>
        <w:t xml:space="preserve"> </w:t>
      </w:r>
    </w:p>
    <w:p w14:paraId="79E54C69" w14:textId="77777777" w:rsidR="00F054B8" w:rsidRPr="00B60429" w:rsidRDefault="00F054B8" w:rsidP="00F054B8">
      <w:pPr>
        <w:pStyle w:val="ListParagraph"/>
        <w:spacing w:after="0" w:line="240" w:lineRule="auto"/>
        <w:rPr>
          <w:color w:val="FF0000"/>
          <w:sz w:val="24"/>
          <w:szCs w:val="24"/>
        </w:rPr>
      </w:pPr>
    </w:p>
    <w:p w14:paraId="514451B0" w14:textId="19280398" w:rsidR="00B60429" w:rsidRPr="00B60429" w:rsidRDefault="00F054B8" w:rsidP="00B60429">
      <w:pPr>
        <w:pStyle w:val="ListParagraph"/>
        <w:spacing w:after="0" w:line="240" w:lineRule="auto"/>
        <w:rPr>
          <w:color w:val="FF0000"/>
          <w:sz w:val="24"/>
          <w:szCs w:val="24"/>
        </w:rPr>
      </w:pPr>
      <w:r w:rsidRPr="009F4513">
        <w:rPr>
          <w:noProof/>
          <w:sz w:val="24"/>
          <w:szCs w:val="24"/>
        </w:rPr>
        <mc:AlternateContent>
          <mc:Choice Requires="wps">
            <w:drawing>
              <wp:inline distT="0" distB="0" distL="0" distR="0" wp14:anchorId="2F1EADF2" wp14:editId="4703DA94">
                <wp:extent cx="3308350" cy="1225550"/>
                <wp:effectExtent l="0" t="0" r="2540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1225550"/>
                        </a:xfrm>
                        <a:prstGeom prst="rect">
                          <a:avLst/>
                        </a:prstGeom>
                        <a:solidFill>
                          <a:srgbClr val="FFFFFF"/>
                        </a:solidFill>
                        <a:ln w="9525">
                          <a:solidFill>
                            <a:srgbClr val="000000"/>
                          </a:solidFill>
                          <a:miter lim="800000"/>
                          <a:headEnd/>
                          <a:tailEnd/>
                        </a:ln>
                      </wps:spPr>
                      <wps:txbx>
                        <w:txbxContent>
                          <w:p w14:paraId="56691A6F" w14:textId="77777777" w:rsidR="00F054B8" w:rsidRPr="009F4513" w:rsidRDefault="00F054B8" w:rsidP="00F054B8">
                            <w:pPr>
                              <w:rPr>
                                <w:i/>
                              </w:rPr>
                            </w:pPr>
                            <w:r w:rsidRPr="009F4513">
                              <w:rPr>
                                <w:i/>
                                <w:sz w:val="24"/>
                                <w:szCs w:val="24"/>
                              </w:rPr>
                              <w:t xml:space="preserve">Oglala Lakota College has developed Lakota Language immersion with their Early Head Start and Head Start programs to begin teaching the native language at early ages. A parent/guardian component is also </w:t>
                            </w:r>
                            <w:r>
                              <w:rPr>
                                <w:i/>
                                <w:sz w:val="24"/>
                                <w:szCs w:val="24"/>
                              </w:rPr>
                              <w:t>available to those interested.[6</w:t>
                            </w:r>
                            <w:r w:rsidRPr="009F4513">
                              <w:rPr>
                                <w:i/>
                                <w:sz w:val="24"/>
                                <w:szCs w:val="24"/>
                              </w:rPr>
                              <w:t>]</w:t>
                            </w:r>
                          </w:p>
                        </w:txbxContent>
                      </wps:txbx>
                      <wps:bodyPr rot="0" vert="horz" wrap="square" lIns="91440" tIns="45720" rIns="91440" bIns="45720" anchor="t" anchorCtr="0">
                        <a:noAutofit/>
                      </wps:bodyPr>
                    </wps:wsp>
                  </a:graphicData>
                </a:graphic>
              </wp:inline>
            </w:drawing>
          </mc:Choice>
          <mc:Fallback>
            <w:pict>
              <v:shape w14:anchorId="2F1EADF2" id="_x0000_s1030" type="#_x0000_t202" style="width:260.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">
                <v:textbox>
                  <w:txbxContent>
                    <w:p w14:paraId="56691A6F" w14:textId="77777777" w:rsidR="00F054B8" w:rsidRPr="009F4513" w:rsidRDefault="00F054B8" w:rsidP="00F054B8">
                      <w:pPr>
                        <w:rPr>
                          <w:i/>
                        </w:rPr>
                      </w:pPr>
                      <w:r w:rsidRPr="009F4513">
                        <w:rPr>
                          <w:i/>
                          <w:sz w:val="24"/>
                          <w:szCs w:val="24"/>
                        </w:rPr>
                        <w:t xml:space="preserve">Oglala Lakota College has developed Lakota Language immersion with their Early Head Start and Head Start programs to begin teaching the native language at early ages. A parent/guardian component is also </w:t>
                      </w:r>
                      <w:r>
                        <w:rPr>
                          <w:i/>
                          <w:sz w:val="24"/>
                          <w:szCs w:val="24"/>
                        </w:rPr>
                        <w:t>available to those interested.[6</w:t>
                      </w:r>
                      <w:r w:rsidRPr="009F4513">
                        <w:rPr>
                          <w:i/>
                          <w:sz w:val="24"/>
                          <w:szCs w:val="24"/>
                        </w:rPr>
                        <w:t>]</w:t>
                      </w:r>
                    </w:p>
                  </w:txbxContent>
                </v:textbox>
                <w10:anchorlock/>
              </v:shape>
            </w:pict>
          </mc:Fallback>
        </mc:AlternateContent>
      </w:r>
    </w:p>
    <w:p w14:paraId="13D82D27" w14:textId="77777777" w:rsidR="00DE4E0B" w:rsidRPr="00556C0F" w:rsidRDefault="00DE4E0B" w:rsidP="005934C7">
      <w:pPr>
        <w:pStyle w:val="Heading1"/>
        <w:rPr>
          <w:color w:val="FF0000"/>
        </w:rPr>
      </w:pPr>
      <w:r w:rsidRPr="00556C0F">
        <w:t>Who are TCU faculty and staff?</w:t>
      </w:r>
    </w:p>
    <w:p w14:paraId="6748E757" w14:textId="77777777" w:rsidR="00DE4E0B" w:rsidRDefault="00DE4E0B" w:rsidP="00DE4E0B">
      <w:pPr>
        <w:spacing w:after="0" w:line="240" w:lineRule="auto"/>
        <w:rPr>
          <w:sz w:val="24"/>
          <w:szCs w:val="24"/>
        </w:rPr>
      </w:pPr>
      <w:r>
        <w:rPr>
          <w:sz w:val="24"/>
          <w:szCs w:val="24"/>
        </w:rPr>
        <w:t>TCU faculty, staff, and administrators play a critical in role in the success of TCUs and their students.  Unlike other higher learning institutions, TCUs seek to employ alumni, and tribal members, many of whom are from the respective community, for a number of reasons:</w:t>
      </w:r>
    </w:p>
    <w:p w14:paraId="54827AAB" w14:textId="77777777" w:rsidR="00F054B8" w:rsidRDefault="00DE4E0B" w:rsidP="00F054B8">
      <w:pPr>
        <w:pStyle w:val="ListParagraph"/>
        <w:numPr>
          <w:ilvl w:val="0"/>
          <w:numId w:val="11"/>
        </w:numPr>
        <w:ind w:left="540"/>
        <w:rPr>
          <w:sz w:val="24"/>
          <w:szCs w:val="24"/>
        </w:rPr>
      </w:pPr>
      <w:r w:rsidRPr="006E46E6">
        <w:rPr>
          <w:sz w:val="24"/>
          <w:szCs w:val="24"/>
        </w:rPr>
        <w:t xml:space="preserve">Students feel they can better relate to staff and faculty who </w:t>
      </w:r>
      <w:r>
        <w:rPr>
          <w:sz w:val="24"/>
          <w:szCs w:val="24"/>
        </w:rPr>
        <w:t>may have faced, or understand, the same hardships of reservation life</w:t>
      </w:r>
      <w:r w:rsidRPr="006E46E6">
        <w:rPr>
          <w:sz w:val="24"/>
          <w:szCs w:val="24"/>
        </w:rPr>
        <w:t xml:space="preserve">. </w:t>
      </w:r>
    </w:p>
    <w:p w14:paraId="10DFC77E" w14:textId="2CA8DBD9" w:rsidR="00DE4E0B" w:rsidRPr="00F054B8" w:rsidRDefault="00DE4E0B" w:rsidP="00F054B8">
      <w:pPr>
        <w:pStyle w:val="ListParagraph"/>
        <w:numPr>
          <w:ilvl w:val="0"/>
          <w:numId w:val="11"/>
        </w:numPr>
        <w:ind w:left="540"/>
        <w:rPr>
          <w:sz w:val="24"/>
          <w:szCs w:val="24"/>
        </w:rPr>
      </w:pPr>
      <w:r w:rsidRPr="00F054B8">
        <w:rPr>
          <w:sz w:val="24"/>
          <w:szCs w:val="24"/>
        </w:rPr>
        <w:t>Employing AIAN staff is an essential component of TCUs and their mission of tribal identity and preservation.</w:t>
      </w:r>
    </w:p>
    <w:p w14:paraId="030952E6" w14:textId="3AC2A9FB" w:rsidR="00F054B8" w:rsidRDefault="00DE4E0B" w:rsidP="00F054B8">
      <w:pPr>
        <w:pStyle w:val="ListParagraph"/>
        <w:numPr>
          <w:ilvl w:val="0"/>
          <w:numId w:val="11"/>
        </w:numPr>
        <w:ind w:left="540"/>
        <w:rPr>
          <w:sz w:val="24"/>
          <w:szCs w:val="24"/>
        </w:rPr>
      </w:pPr>
      <w:r>
        <w:rPr>
          <w:sz w:val="24"/>
          <w:szCs w:val="24"/>
        </w:rPr>
        <w:t xml:space="preserve">With sparse opportunities for employment on most reservations, hiring local tribal members is necessary to keep those who are qualified from relocating for employment purposes and keep the skills in the community. </w:t>
      </w:r>
    </w:p>
    <w:p w14:paraId="14968590" w14:textId="17BDF63B" w:rsidR="00DE4E0B" w:rsidRPr="00F054B8" w:rsidRDefault="00DE4E0B" w:rsidP="00F054B8">
      <w:pPr>
        <w:pStyle w:val="ListParagraph"/>
        <w:numPr>
          <w:ilvl w:val="0"/>
          <w:numId w:val="11"/>
        </w:numPr>
        <w:ind w:left="540"/>
        <w:rPr>
          <w:sz w:val="24"/>
          <w:szCs w:val="24"/>
        </w:rPr>
      </w:pPr>
      <w:r w:rsidRPr="00F054B8">
        <w:rPr>
          <w:sz w:val="24"/>
          <w:szCs w:val="24"/>
        </w:rPr>
        <w:lastRenderedPageBreak/>
        <w:t>According to the American Indian Higher Education Consortium (2012), 43% of full-time faculty, and 46% of all faculty employed at TCUs are of AIAN decent. An impressive 71% of TCU</w:t>
      </w:r>
      <w:r w:rsidR="003407CC" w:rsidRPr="00F054B8">
        <w:rPr>
          <w:sz w:val="24"/>
          <w:szCs w:val="24"/>
        </w:rPr>
        <w:t xml:space="preserve"> administrators are also AIAN.[3</w:t>
      </w:r>
      <w:r w:rsidRPr="00F054B8">
        <w:rPr>
          <w:sz w:val="24"/>
          <w:szCs w:val="24"/>
        </w:rPr>
        <w:t>]</w:t>
      </w:r>
    </w:p>
    <w:p w14:paraId="6D8EA047" w14:textId="77777777" w:rsidR="00556C0F" w:rsidRDefault="00556C0F" w:rsidP="00556C0F">
      <w:pPr>
        <w:tabs>
          <w:tab w:val="left" w:pos="360"/>
        </w:tabs>
        <w:spacing w:after="0" w:line="240" w:lineRule="auto"/>
        <w:rPr>
          <w:sz w:val="24"/>
          <w:szCs w:val="24"/>
        </w:rPr>
      </w:pPr>
      <w:bookmarkStart w:id="0" w:name="_GoBack"/>
      <w:bookmarkEnd w:id="0"/>
    </w:p>
    <w:p w14:paraId="13A7C220" w14:textId="77777777" w:rsidR="00556C0F" w:rsidRPr="005934C7" w:rsidRDefault="00556C0F" w:rsidP="005934C7">
      <w:pPr>
        <w:pStyle w:val="Heading1"/>
      </w:pPr>
      <w:r w:rsidRPr="005934C7">
        <w:t xml:space="preserve">Veterans and TCUs </w:t>
      </w:r>
    </w:p>
    <w:p w14:paraId="3876A1E4" w14:textId="77777777" w:rsidR="005640D1" w:rsidRDefault="00556C0F" w:rsidP="006461C5">
      <w:pPr>
        <w:tabs>
          <w:tab w:val="left" w:pos="540"/>
        </w:tabs>
        <w:spacing w:after="0" w:line="240" w:lineRule="auto"/>
        <w:rPr>
          <w:sz w:val="24"/>
          <w:szCs w:val="24"/>
        </w:rPr>
      </w:pPr>
      <w:r>
        <w:rPr>
          <w:sz w:val="24"/>
          <w:szCs w:val="24"/>
        </w:rPr>
        <w:t xml:space="preserve">Information on Veterans and/or Veteran programs at tribal colleges and universities is extremely limited. Most TCU admission applications do not ask or track Veteran status or enrollment.  </w:t>
      </w:r>
      <w:r w:rsidRPr="00F14D05">
        <w:rPr>
          <w:sz w:val="24"/>
          <w:szCs w:val="24"/>
        </w:rPr>
        <w:t>The Veterans Benefit Administration, charged with enrollment in and allocation of educational benefits, does not currently track the use of educational benefits b</w:t>
      </w:r>
      <w:r>
        <w:rPr>
          <w:sz w:val="24"/>
          <w:szCs w:val="24"/>
        </w:rPr>
        <w:t xml:space="preserve">y race. </w:t>
      </w:r>
      <w:r w:rsidRPr="00F14D05">
        <w:rPr>
          <w:sz w:val="24"/>
          <w:szCs w:val="24"/>
        </w:rPr>
        <w:t>Thus, no VA-based data exist to document the extent AIAN Veterans might be using t</w:t>
      </w:r>
      <w:r>
        <w:rPr>
          <w:sz w:val="24"/>
          <w:szCs w:val="24"/>
        </w:rPr>
        <w:t xml:space="preserve">he educational benefits they have </w:t>
      </w:r>
      <w:r w:rsidRPr="00F14D05">
        <w:rPr>
          <w:sz w:val="24"/>
          <w:szCs w:val="24"/>
        </w:rPr>
        <w:t>earned, either at TCUs or elsewhere.</w:t>
      </w:r>
      <w:r w:rsidR="005640D1" w:rsidRPr="005640D1">
        <w:rPr>
          <w:sz w:val="24"/>
          <w:szCs w:val="24"/>
        </w:rPr>
        <w:t xml:space="preserve"> </w:t>
      </w:r>
    </w:p>
    <w:p w14:paraId="7CD785AE" w14:textId="77777777" w:rsidR="005640D1" w:rsidRDefault="005640D1" w:rsidP="006461C5">
      <w:pPr>
        <w:tabs>
          <w:tab w:val="left" w:pos="540"/>
        </w:tabs>
        <w:spacing w:after="0" w:line="240" w:lineRule="auto"/>
        <w:rPr>
          <w:sz w:val="24"/>
          <w:szCs w:val="24"/>
        </w:rPr>
      </w:pPr>
    </w:p>
    <w:p w14:paraId="7330647C" w14:textId="7A4D398D" w:rsidR="005640D1" w:rsidRDefault="005640D1" w:rsidP="006461C5">
      <w:pPr>
        <w:tabs>
          <w:tab w:val="left" w:pos="540"/>
        </w:tabs>
        <w:spacing w:after="0" w:line="240" w:lineRule="auto"/>
        <w:rPr>
          <w:sz w:val="24"/>
          <w:szCs w:val="24"/>
        </w:rPr>
      </w:pPr>
      <w:r>
        <w:rPr>
          <w:sz w:val="24"/>
          <w:szCs w:val="24"/>
        </w:rPr>
        <w:t>Locally, many TCUs may have special programs or services, largely undocumented in official material. Often information about services or events is spread through word-of-mouth.  Partnerships and in-person visits are often the only way to learn about Veteran-focused TCU activities. Establishing and supporting TCU-VA partnerships may offer an essential opportunity to fill gaps in services, tracking, and outreach for AIAN Veterans living in highly rural communities.</w:t>
      </w:r>
    </w:p>
    <w:p w14:paraId="52D9464B" w14:textId="611CFAFC" w:rsidR="00556C0F" w:rsidRDefault="00BA5862" w:rsidP="005640D1">
      <w:pPr>
        <w:tabs>
          <w:tab w:val="left" w:pos="540"/>
        </w:tabs>
        <w:spacing w:after="0" w:line="240" w:lineRule="auto"/>
        <w:ind w:left="2700"/>
        <w:rPr>
          <w:sz w:val="24"/>
          <w:szCs w:val="24"/>
        </w:rPr>
      </w:pPr>
      <w:r w:rsidRPr="00D147BF">
        <w:rPr>
          <w:noProof/>
          <w:sz w:val="24"/>
          <w:szCs w:val="24"/>
        </w:rPr>
        <mc:AlternateContent>
          <mc:Choice Requires="wps">
            <w:drawing>
              <wp:inline distT="0" distB="0" distL="0" distR="0" wp14:anchorId="2BCCA680" wp14:editId="3D8F0AE2">
                <wp:extent cx="2360930" cy="958850"/>
                <wp:effectExtent l="0" t="0" r="2032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58850"/>
                        </a:xfrm>
                        <a:prstGeom prst="rect">
                          <a:avLst/>
                        </a:prstGeom>
                        <a:solidFill>
                          <a:srgbClr val="FFFFFF"/>
                        </a:solidFill>
                        <a:ln w="9525">
                          <a:solidFill>
                            <a:srgbClr val="000000"/>
                          </a:solidFill>
                          <a:miter lim="800000"/>
                          <a:headEnd/>
                          <a:tailEnd/>
                        </a:ln>
                      </wps:spPr>
                      <wps:txbx>
                        <w:txbxContent>
                          <w:p w14:paraId="4DD60D9C" w14:textId="77777777" w:rsidR="00D147BF" w:rsidRPr="00815BA4" w:rsidRDefault="00D147BF">
                            <w:pPr>
                              <w:rPr>
                                <w:i/>
                                <w:sz w:val="24"/>
                                <w:szCs w:val="24"/>
                              </w:rPr>
                            </w:pPr>
                            <w:r w:rsidRPr="00815BA4">
                              <w:rPr>
                                <w:i/>
                                <w:sz w:val="24"/>
                                <w:szCs w:val="24"/>
                              </w:rPr>
                              <w:t xml:space="preserve">Oglala Lakota College offers a tuition-waiver for Veterans whose education benefits have expired or reached the maximum allowance.  </w:t>
                            </w:r>
                          </w:p>
                        </w:txbxContent>
                      </wps:txbx>
                      <wps:bodyPr rot="0" vert="horz" wrap="square" lIns="91440" tIns="45720" rIns="91440" bIns="45720" anchor="t" anchorCtr="0">
                        <a:noAutofit/>
                      </wps:bodyPr>
                    </wps:wsp>
                  </a:graphicData>
                </a:graphic>
              </wp:inline>
            </w:drawing>
          </mc:Choice>
          <mc:Fallback>
            <w:pict>
              <v:shape w14:anchorId="2BCCA680" id="_x0000_s1031" type="#_x0000_t202" style="width:185.9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hJQIAAEs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">
                <v:textbox>
                  <w:txbxContent>
                    <w:p w14:paraId="4DD60D9C" w14:textId="77777777" w:rsidR="00D147BF" w:rsidRPr="00815BA4" w:rsidRDefault="00D147BF">
                      <w:pPr>
                        <w:rPr>
                          <w:i/>
                          <w:sz w:val="24"/>
                          <w:szCs w:val="24"/>
                        </w:rPr>
                      </w:pPr>
                      <w:r w:rsidRPr="00815BA4">
                        <w:rPr>
                          <w:i/>
                          <w:sz w:val="24"/>
                          <w:szCs w:val="24"/>
                        </w:rPr>
                        <w:t xml:space="preserve">Oglala Lakota College offers a tuition-waiver for Veterans whose education benefits have expired or reached the maximum allowance.  </w:t>
                      </w:r>
                    </w:p>
                  </w:txbxContent>
                </v:textbox>
                <w10:anchorlock/>
              </v:shape>
            </w:pict>
          </mc:Fallback>
        </mc:AlternateContent>
      </w:r>
      <w:r w:rsidR="00556C0F">
        <w:rPr>
          <w:sz w:val="24"/>
          <w:szCs w:val="24"/>
        </w:rPr>
        <w:t xml:space="preserve"> </w:t>
      </w:r>
    </w:p>
    <w:p w14:paraId="3532D228" w14:textId="07C8CF23" w:rsidR="00140321" w:rsidRPr="0043455F" w:rsidRDefault="00140321" w:rsidP="005934C7">
      <w:pPr>
        <w:pStyle w:val="Heading1"/>
      </w:pPr>
      <w:r w:rsidRPr="005934C7">
        <w:t>Post-9/11 Veterans</w:t>
      </w:r>
      <w:r w:rsidR="005934C7">
        <w:t xml:space="preserve"> </w:t>
      </w:r>
      <w:r w:rsidR="0011404C">
        <w:t>(non</w:t>
      </w:r>
      <w:r w:rsidR="00D7239E">
        <w:t xml:space="preserve"> AIAN-</w:t>
      </w:r>
      <w:r w:rsidR="0043455F">
        <w:t>specific)</w:t>
      </w:r>
    </w:p>
    <w:p w14:paraId="79B51E2C" w14:textId="1286B075" w:rsidR="00140321" w:rsidRPr="0043455F" w:rsidRDefault="00140321" w:rsidP="006461C5">
      <w:pPr>
        <w:tabs>
          <w:tab w:val="left" w:pos="540"/>
        </w:tabs>
        <w:spacing w:after="0" w:line="240" w:lineRule="auto"/>
        <w:rPr>
          <w:b/>
          <w:sz w:val="24"/>
          <w:szCs w:val="24"/>
          <w:u w:val="single"/>
        </w:rPr>
      </w:pPr>
      <w:r>
        <w:rPr>
          <w:sz w:val="24"/>
          <w:szCs w:val="24"/>
        </w:rPr>
        <w:t>According to the National Center for Veteran Analysis and Statistics, Post-9/11 Era</w:t>
      </w:r>
      <w:r w:rsidR="00533A6A">
        <w:rPr>
          <w:sz w:val="24"/>
          <w:szCs w:val="24"/>
        </w:rPr>
        <w:t xml:space="preserve"> Veterans</w:t>
      </w:r>
      <w:r>
        <w:rPr>
          <w:sz w:val="24"/>
          <w:szCs w:val="24"/>
        </w:rPr>
        <w:t xml:space="preserve"> are currently the youngest cohort of Veterans with 58% being age 34 or younger.</w:t>
      </w:r>
      <w:r w:rsidR="00910656">
        <w:rPr>
          <w:sz w:val="24"/>
          <w:szCs w:val="24"/>
        </w:rPr>
        <w:t xml:space="preserve"> </w:t>
      </w:r>
      <w:r w:rsidRPr="00910656">
        <w:rPr>
          <w:sz w:val="24"/>
          <w:szCs w:val="24"/>
        </w:rPr>
        <w:t xml:space="preserve">In 2014, the Post-9/11 Veteran population was approximately 2.6 million.  By the year 2019, </w:t>
      </w:r>
      <w:r w:rsidR="00AD0D05" w:rsidRPr="00910656">
        <w:rPr>
          <w:sz w:val="24"/>
          <w:szCs w:val="24"/>
        </w:rPr>
        <w:t xml:space="preserve">there will be an estimated </w:t>
      </w:r>
      <w:r w:rsidRPr="00910656">
        <w:rPr>
          <w:sz w:val="24"/>
          <w:szCs w:val="24"/>
        </w:rPr>
        <w:t>1 million more Veterans</w:t>
      </w:r>
      <w:r w:rsidR="00AD0D05" w:rsidRPr="00910656">
        <w:rPr>
          <w:sz w:val="24"/>
          <w:szCs w:val="24"/>
        </w:rPr>
        <w:t>, a 36% increase</w:t>
      </w:r>
      <w:r w:rsidR="003407CC">
        <w:rPr>
          <w:sz w:val="24"/>
          <w:szCs w:val="24"/>
        </w:rPr>
        <w:t>.[7</w:t>
      </w:r>
      <w:r w:rsidR="007457B0" w:rsidRPr="00910656">
        <w:rPr>
          <w:sz w:val="24"/>
          <w:szCs w:val="24"/>
        </w:rPr>
        <w:t>]</w:t>
      </w:r>
      <w:r w:rsidR="007457B0">
        <w:rPr>
          <w:sz w:val="24"/>
          <w:szCs w:val="24"/>
        </w:rPr>
        <w:t xml:space="preserve"> In</w:t>
      </w:r>
      <w:r w:rsidR="00C119F2">
        <w:rPr>
          <w:sz w:val="24"/>
          <w:szCs w:val="24"/>
        </w:rPr>
        <w:t xml:space="preserve"> this cohort of Veterans, like other periods of service, AIAN Veterans are disproportionately represented.</w:t>
      </w:r>
    </w:p>
    <w:p w14:paraId="34536F6D" w14:textId="77777777" w:rsidR="00140321" w:rsidRPr="005A4904" w:rsidRDefault="00140321" w:rsidP="006461C5">
      <w:pPr>
        <w:pStyle w:val="ListParagraph"/>
        <w:tabs>
          <w:tab w:val="left" w:pos="540"/>
        </w:tabs>
        <w:spacing w:after="0" w:line="240" w:lineRule="auto"/>
        <w:ind w:left="540"/>
        <w:rPr>
          <w:b/>
          <w:sz w:val="24"/>
          <w:szCs w:val="24"/>
          <w:u w:val="single"/>
        </w:rPr>
      </w:pPr>
    </w:p>
    <w:p w14:paraId="7FE682BC" w14:textId="410706AC" w:rsidR="00140321" w:rsidRDefault="00C119F2" w:rsidP="006461C5">
      <w:pPr>
        <w:tabs>
          <w:tab w:val="left" w:pos="540"/>
        </w:tabs>
        <w:spacing w:after="0" w:line="240" w:lineRule="auto"/>
        <w:rPr>
          <w:sz w:val="24"/>
          <w:szCs w:val="24"/>
        </w:rPr>
      </w:pPr>
      <w:r>
        <w:rPr>
          <w:sz w:val="24"/>
          <w:szCs w:val="24"/>
        </w:rPr>
        <w:t>To date, we know little about AIAN Post-9/11 Veterans.  However, some statistics for the national group are instructive.  For example, i</w:t>
      </w:r>
      <w:r w:rsidR="00AD0D05">
        <w:rPr>
          <w:sz w:val="24"/>
          <w:szCs w:val="24"/>
        </w:rPr>
        <w:t xml:space="preserve">n 2012, of </w:t>
      </w:r>
      <w:r w:rsidR="0069494F">
        <w:rPr>
          <w:sz w:val="24"/>
          <w:szCs w:val="24"/>
        </w:rPr>
        <w:t xml:space="preserve">all </w:t>
      </w:r>
      <w:r w:rsidR="00AD0D05">
        <w:rPr>
          <w:sz w:val="24"/>
          <w:szCs w:val="24"/>
        </w:rPr>
        <w:t xml:space="preserve">Post-9/11 Veterans </w:t>
      </w:r>
      <w:r w:rsidR="0069494F">
        <w:rPr>
          <w:sz w:val="24"/>
          <w:szCs w:val="24"/>
        </w:rPr>
        <w:t xml:space="preserve">nearly 20% of those </w:t>
      </w:r>
      <w:r w:rsidR="00AD0D05">
        <w:rPr>
          <w:sz w:val="24"/>
          <w:szCs w:val="24"/>
        </w:rPr>
        <w:t xml:space="preserve">enrolled in at least one benefit program are utilizing education benefits. </w:t>
      </w:r>
      <w:r w:rsidR="00140321">
        <w:rPr>
          <w:sz w:val="24"/>
          <w:szCs w:val="24"/>
        </w:rPr>
        <w:t>VA Education benefit programs for Veterans and their spouse and/or dependents</w:t>
      </w:r>
      <w:r w:rsidR="00AD0D05">
        <w:rPr>
          <w:sz w:val="24"/>
          <w:szCs w:val="24"/>
        </w:rPr>
        <w:t xml:space="preserve"> include</w:t>
      </w:r>
      <w:r w:rsidR="007457B0">
        <w:rPr>
          <w:sz w:val="24"/>
          <w:szCs w:val="24"/>
        </w:rPr>
        <w:t>: [</w:t>
      </w:r>
      <w:r w:rsidR="003407CC">
        <w:rPr>
          <w:sz w:val="24"/>
          <w:szCs w:val="24"/>
        </w:rPr>
        <w:t>7</w:t>
      </w:r>
      <w:r w:rsidR="00140321">
        <w:rPr>
          <w:sz w:val="24"/>
          <w:szCs w:val="24"/>
        </w:rPr>
        <w:t>]</w:t>
      </w:r>
    </w:p>
    <w:p w14:paraId="493253D8" w14:textId="77777777" w:rsidR="00140321" w:rsidRPr="004F6C13" w:rsidRDefault="00140321" w:rsidP="006461C5">
      <w:pPr>
        <w:pStyle w:val="ListParagraph"/>
        <w:numPr>
          <w:ilvl w:val="0"/>
          <w:numId w:val="14"/>
        </w:numPr>
        <w:tabs>
          <w:tab w:val="left" w:pos="540"/>
        </w:tabs>
        <w:spacing w:after="0" w:line="240" w:lineRule="auto"/>
        <w:rPr>
          <w:b/>
          <w:sz w:val="24"/>
          <w:szCs w:val="24"/>
          <w:u w:val="single"/>
        </w:rPr>
      </w:pPr>
      <w:r>
        <w:rPr>
          <w:sz w:val="24"/>
          <w:szCs w:val="24"/>
        </w:rPr>
        <w:t xml:space="preserve"> Post-9/11 GI Bill</w:t>
      </w:r>
    </w:p>
    <w:p w14:paraId="2AC74E87" w14:textId="77777777" w:rsidR="00140321" w:rsidRPr="004F6C13" w:rsidRDefault="00140321" w:rsidP="006461C5">
      <w:pPr>
        <w:pStyle w:val="ListParagraph"/>
        <w:numPr>
          <w:ilvl w:val="0"/>
          <w:numId w:val="14"/>
        </w:numPr>
        <w:tabs>
          <w:tab w:val="left" w:pos="540"/>
        </w:tabs>
        <w:spacing w:after="0" w:line="240" w:lineRule="auto"/>
        <w:rPr>
          <w:b/>
          <w:sz w:val="24"/>
          <w:szCs w:val="24"/>
          <w:u w:val="single"/>
        </w:rPr>
      </w:pPr>
      <w:r w:rsidRPr="004F6C13">
        <w:rPr>
          <w:sz w:val="24"/>
          <w:szCs w:val="24"/>
        </w:rPr>
        <w:t xml:space="preserve"> Montgomery GI Bill – Active Duty Education</w:t>
      </w:r>
      <w:r>
        <w:rPr>
          <w:sz w:val="24"/>
          <w:szCs w:val="24"/>
        </w:rPr>
        <w:t>al Assistance Program (MGIB-AD)</w:t>
      </w:r>
    </w:p>
    <w:p w14:paraId="3B1C4857" w14:textId="77777777" w:rsidR="00140321" w:rsidRPr="004F6C13" w:rsidRDefault="00140321" w:rsidP="006461C5">
      <w:pPr>
        <w:pStyle w:val="ListParagraph"/>
        <w:numPr>
          <w:ilvl w:val="0"/>
          <w:numId w:val="14"/>
        </w:numPr>
        <w:tabs>
          <w:tab w:val="left" w:pos="540"/>
        </w:tabs>
        <w:spacing w:after="0" w:line="240" w:lineRule="auto"/>
        <w:rPr>
          <w:b/>
          <w:sz w:val="24"/>
          <w:szCs w:val="24"/>
          <w:u w:val="single"/>
        </w:rPr>
      </w:pPr>
      <w:r>
        <w:rPr>
          <w:sz w:val="24"/>
          <w:szCs w:val="24"/>
        </w:rPr>
        <w:t xml:space="preserve"> </w:t>
      </w:r>
      <w:r w:rsidRPr="004F6C13">
        <w:rPr>
          <w:sz w:val="24"/>
          <w:szCs w:val="24"/>
        </w:rPr>
        <w:t>Survivors’ and Dependents’ Educational Assistance (DEA)</w:t>
      </w:r>
    </w:p>
    <w:p w14:paraId="47100D64" w14:textId="77777777" w:rsidR="00140321" w:rsidRPr="00A73A5E" w:rsidRDefault="00140321" w:rsidP="006461C5">
      <w:pPr>
        <w:pStyle w:val="ListParagraph"/>
        <w:numPr>
          <w:ilvl w:val="0"/>
          <w:numId w:val="14"/>
        </w:numPr>
        <w:tabs>
          <w:tab w:val="left" w:pos="540"/>
        </w:tabs>
        <w:spacing w:after="0" w:line="240" w:lineRule="auto"/>
        <w:rPr>
          <w:b/>
          <w:sz w:val="24"/>
          <w:szCs w:val="24"/>
          <w:u w:val="single"/>
        </w:rPr>
      </w:pPr>
      <w:r w:rsidRPr="004F6C13">
        <w:rPr>
          <w:sz w:val="24"/>
          <w:szCs w:val="24"/>
        </w:rPr>
        <w:t xml:space="preserve"> </w:t>
      </w:r>
      <w:r w:rsidRPr="00A73A5E">
        <w:rPr>
          <w:sz w:val="24"/>
          <w:szCs w:val="24"/>
        </w:rPr>
        <w:t>Post-Vietnam Era Veterans Education Assistance Program (VEAP)</w:t>
      </w:r>
    </w:p>
    <w:p w14:paraId="4DDEA2B9" w14:textId="77777777" w:rsidR="00140321" w:rsidRPr="00A73A5E" w:rsidRDefault="00140321" w:rsidP="006461C5">
      <w:pPr>
        <w:pStyle w:val="ListParagraph"/>
        <w:numPr>
          <w:ilvl w:val="0"/>
          <w:numId w:val="14"/>
        </w:numPr>
        <w:tabs>
          <w:tab w:val="left" w:pos="540"/>
        </w:tabs>
        <w:spacing w:after="0" w:line="240" w:lineRule="auto"/>
        <w:rPr>
          <w:b/>
          <w:sz w:val="24"/>
          <w:szCs w:val="24"/>
          <w:u w:val="single"/>
        </w:rPr>
      </w:pPr>
      <w:r>
        <w:rPr>
          <w:sz w:val="24"/>
          <w:szCs w:val="24"/>
        </w:rPr>
        <w:t xml:space="preserve"> </w:t>
      </w:r>
      <w:r w:rsidRPr="00A73A5E">
        <w:rPr>
          <w:sz w:val="24"/>
          <w:szCs w:val="24"/>
        </w:rPr>
        <w:t>Reserve Educational Assistance Program (REAP)</w:t>
      </w:r>
    </w:p>
    <w:p w14:paraId="71157489" w14:textId="77777777" w:rsidR="00037F87" w:rsidRDefault="00140321" w:rsidP="006461C5">
      <w:pPr>
        <w:pStyle w:val="ListParagraph"/>
        <w:numPr>
          <w:ilvl w:val="0"/>
          <w:numId w:val="14"/>
        </w:numPr>
        <w:tabs>
          <w:tab w:val="left" w:pos="540"/>
        </w:tabs>
        <w:spacing w:after="0" w:line="240" w:lineRule="auto"/>
        <w:rPr>
          <w:sz w:val="24"/>
          <w:szCs w:val="24"/>
        </w:rPr>
      </w:pPr>
      <w:r>
        <w:rPr>
          <w:sz w:val="24"/>
          <w:szCs w:val="24"/>
        </w:rPr>
        <w:t xml:space="preserve"> </w:t>
      </w:r>
      <w:r w:rsidRPr="00A73A5E">
        <w:rPr>
          <w:sz w:val="24"/>
          <w:szCs w:val="24"/>
        </w:rPr>
        <w:t>Veterans Retraining Assistance Program (VRAP)</w:t>
      </w:r>
    </w:p>
    <w:p w14:paraId="5F24AA19" w14:textId="77777777" w:rsidR="0003065A" w:rsidRPr="00037F87" w:rsidRDefault="0003065A" w:rsidP="005934C7">
      <w:pPr>
        <w:pStyle w:val="Heading1"/>
      </w:pPr>
      <w:r w:rsidRPr="00037F87">
        <w:lastRenderedPageBreak/>
        <w:t>Challenges and Barriers</w:t>
      </w:r>
    </w:p>
    <w:p w14:paraId="1C9E6484" w14:textId="77777777" w:rsidR="00140321" w:rsidRDefault="00140321" w:rsidP="00037F87">
      <w:pPr>
        <w:tabs>
          <w:tab w:val="left" w:pos="540"/>
        </w:tabs>
        <w:spacing w:after="0" w:line="240" w:lineRule="auto"/>
        <w:rPr>
          <w:sz w:val="24"/>
          <w:szCs w:val="24"/>
        </w:rPr>
      </w:pPr>
      <w:r w:rsidRPr="00556C0F">
        <w:rPr>
          <w:sz w:val="24"/>
          <w:szCs w:val="24"/>
        </w:rPr>
        <w:t xml:space="preserve">Post-9/11 Veterans </w:t>
      </w:r>
      <w:r w:rsidR="00C119F2">
        <w:rPr>
          <w:sz w:val="24"/>
          <w:szCs w:val="24"/>
        </w:rPr>
        <w:t xml:space="preserve">in general </w:t>
      </w:r>
      <w:r w:rsidRPr="00556C0F">
        <w:rPr>
          <w:sz w:val="24"/>
          <w:szCs w:val="24"/>
        </w:rPr>
        <w:t>cite several examples of the challenges they face in trying to integrate back into society, as</w:t>
      </w:r>
      <w:r w:rsidR="00556C0F">
        <w:rPr>
          <w:sz w:val="24"/>
          <w:szCs w:val="24"/>
        </w:rPr>
        <w:t xml:space="preserve"> well pursuing higher education:</w:t>
      </w:r>
    </w:p>
    <w:p w14:paraId="0382D0DB" w14:textId="77777777" w:rsidR="00140321" w:rsidRPr="00556C0F" w:rsidRDefault="00140321" w:rsidP="00037F87">
      <w:pPr>
        <w:pStyle w:val="ListParagraph"/>
        <w:numPr>
          <w:ilvl w:val="0"/>
          <w:numId w:val="28"/>
        </w:numPr>
        <w:tabs>
          <w:tab w:val="left" w:pos="540"/>
        </w:tabs>
        <w:spacing w:after="0" w:line="240" w:lineRule="auto"/>
        <w:rPr>
          <w:b/>
          <w:sz w:val="24"/>
          <w:szCs w:val="24"/>
          <w:u w:val="single"/>
        </w:rPr>
      </w:pPr>
      <w:r w:rsidRPr="00556C0F">
        <w:rPr>
          <w:sz w:val="24"/>
          <w:szCs w:val="24"/>
        </w:rPr>
        <w:t>Military training and education often does not transfer into the civilian sector.</w:t>
      </w:r>
    </w:p>
    <w:p w14:paraId="4C931E2D" w14:textId="689A1CF0" w:rsidR="00140321" w:rsidRPr="00556C0F" w:rsidRDefault="00140321" w:rsidP="00037F87">
      <w:pPr>
        <w:pStyle w:val="ListParagraph"/>
        <w:numPr>
          <w:ilvl w:val="0"/>
          <w:numId w:val="28"/>
        </w:numPr>
        <w:tabs>
          <w:tab w:val="left" w:pos="540"/>
        </w:tabs>
        <w:spacing w:after="0" w:line="240" w:lineRule="auto"/>
        <w:rPr>
          <w:b/>
          <w:sz w:val="24"/>
          <w:szCs w:val="24"/>
          <w:u w:val="single"/>
        </w:rPr>
      </w:pPr>
      <w:r w:rsidRPr="00556C0F">
        <w:rPr>
          <w:sz w:val="24"/>
          <w:szCs w:val="24"/>
        </w:rPr>
        <w:t xml:space="preserve">Veterans feel discouraged when learning that their military experience really “doesn’t count </w:t>
      </w:r>
      <w:r w:rsidR="0003065A">
        <w:rPr>
          <w:sz w:val="24"/>
          <w:szCs w:val="24"/>
        </w:rPr>
        <w:t>for anything”.</w:t>
      </w:r>
      <w:r w:rsidR="003407CC">
        <w:rPr>
          <w:sz w:val="24"/>
          <w:szCs w:val="24"/>
        </w:rPr>
        <w:t>[8</w:t>
      </w:r>
      <w:r w:rsidRPr="00556C0F">
        <w:rPr>
          <w:sz w:val="24"/>
          <w:szCs w:val="24"/>
        </w:rPr>
        <w:t>]</w:t>
      </w:r>
    </w:p>
    <w:p w14:paraId="42F97C2A" w14:textId="77777777" w:rsidR="00140321" w:rsidRPr="00556C0F" w:rsidRDefault="00140321" w:rsidP="00037F87">
      <w:pPr>
        <w:pStyle w:val="ListParagraph"/>
        <w:numPr>
          <w:ilvl w:val="0"/>
          <w:numId w:val="28"/>
        </w:numPr>
        <w:tabs>
          <w:tab w:val="left" w:pos="540"/>
        </w:tabs>
        <w:spacing w:after="0" w:line="240" w:lineRule="auto"/>
        <w:rPr>
          <w:b/>
          <w:sz w:val="24"/>
          <w:szCs w:val="24"/>
          <w:u w:val="single"/>
        </w:rPr>
      </w:pPr>
      <w:r w:rsidRPr="00556C0F">
        <w:rPr>
          <w:sz w:val="24"/>
          <w:szCs w:val="24"/>
        </w:rPr>
        <w:t xml:space="preserve">Difficult transition and integration as a non-traditional student. </w:t>
      </w:r>
    </w:p>
    <w:p w14:paraId="781D2C99" w14:textId="77777777" w:rsidR="00140321" w:rsidRPr="0003065A" w:rsidRDefault="00140321" w:rsidP="00037F87">
      <w:pPr>
        <w:pStyle w:val="ListParagraph"/>
        <w:numPr>
          <w:ilvl w:val="0"/>
          <w:numId w:val="28"/>
        </w:numPr>
        <w:tabs>
          <w:tab w:val="left" w:pos="540"/>
        </w:tabs>
        <w:spacing w:after="0" w:line="240" w:lineRule="auto"/>
        <w:rPr>
          <w:b/>
          <w:sz w:val="24"/>
          <w:szCs w:val="24"/>
          <w:u w:val="single"/>
        </w:rPr>
      </w:pPr>
      <w:r w:rsidRPr="00556C0F">
        <w:rPr>
          <w:sz w:val="24"/>
          <w:szCs w:val="24"/>
        </w:rPr>
        <w:t xml:space="preserve">Veteran support services and programs are not a requirement for colleges and universities. </w:t>
      </w:r>
    </w:p>
    <w:p w14:paraId="1244E584" w14:textId="77777777" w:rsidR="0003065A" w:rsidRDefault="0003065A" w:rsidP="0003065A">
      <w:pPr>
        <w:tabs>
          <w:tab w:val="left" w:pos="540"/>
        </w:tabs>
        <w:spacing w:after="0" w:line="240" w:lineRule="auto"/>
        <w:jc w:val="both"/>
        <w:rPr>
          <w:sz w:val="24"/>
          <w:szCs w:val="24"/>
        </w:rPr>
      </w:pPr>
    </w:p>
    <w:p w14:paraId="7825BD36" w14:textId="77777777" w:rsidR="0003065A" w:rsidRDefault="0003065A" w:rsidP="0003065A">
      <w:pPr>
        <w:tabs>
          <w:tab w:val="left" w:pos="540"/>
        </w:tabs>
        <w:spacing w:after="0" w:line="240" w:lineRule="auto"/>
        <w:jc w:val="both"/>
        <w:rPr>
          <w:sz w:val="24"/>
          <w:szCs w:val="24"/>
        </w:rPr>
      </w:pPr>
      <w:r w:rsidRPr="00957482">
        <w:rPr>
          <w:b/>
          <w:sz w:val="24"/>
          <w:szCs w:val="24"/>
        </w:rPr>
        <w:t>AIAN Veterans attending TCUs</w:t>
      </w:r>
      <w:r w:rsidR="00957482">
        <w:rPr>
          <w:sz w:val="24"/>
          <w:szCs w:val="24"/>
        </w:rPr>
        <w:t xml:space="preserve"> </w:t>
      </w:r>
      <w:r w:rsidR="00C119F2">
        <w:rPr>
          <w:sz w:val="24"/>
          <w:szCs w:val="24"/>
        </w:rPr>
        <w:t xml:space="preserve">provide additional insight into the experiences they have as students in this unique learning environment </w:t>
      </w:r>
      <w:r w:rsidR="00957482">
        <w:rPr>
          <w:sz w:val="24"/>
          <w:szCs w:val="24"/>
        </w:rPr>
        <w:t xml:space="preserve">(comments come from </w:t>
      </w:r>
      <w:r w:rsidR="00C119F2">
        <w:rPr>
          <w:sz w:val="24"/>
          <w:szCs w:val="24"/>
        </w:rPr>
        <w:t xml:space="preserve">2015 listening sessions with </w:t>
      </w:r>
      <w:r w:rsidR="00957482">
        <w:rPr>
          <w:sz w:val="24"/>
          <w:szCs w:val="24"/>
        </w:rPr>
        <w:t xml:space="preserve">Veterans who </w:t>
      </w:r>
      <w:r w:rsidR="00C119F2">
        <w:rPr>
          <w:sz w:val="24"/>
          <w:szCs w:val="24"/>
        </w:rPr>
        <w:t>we</w:t>
      </w:r>
      <w:r w:rsidR="00957482">
        <w:rPr>
          <w:sz w:val="24"/>
          <w:szCs w:val="24"/>
        </w:rPr>
        <w:t>re enrolled members o</w:t>
      </w:r>
      <w:r w:rsidR="00B84C98">
        <w:rPr>
          <w:sz w:val="24"/>
          <w:szCs w:val="24"/>
        </w:rPr>
        <w:t>f the Oglala Sioux Tribe and</w:t>
      </w:r>
      <w:r w:rsidR="00957482">
        <w:rPr>
          <w:sz w:val="24"/>
          <w:szCs w:val="24"/>
        </w:rPr>
        <w:t xml:space="preserve"> attending OLC):</w:t>
      </w:r>
    </w:p>
    <w:p w14:paraId="5AD8ACAA" w14:textId="77777777" w:rsidR="009D1034" w:rsidRDefault="009D1034" w:rsidP="0003065A">
      <w:pPr>
        <w:tabs>
          <w:tab w:val="left" w:pos="540"/>
        </w:tabs>
        <w:spacing w:after="0" w:line="240" w:lineRule="auto"/>
        <w:jc w:val="both"/>
        <w:rPr>
          <w:sz w:val="24"/>
          <w:szCs w:val="24"/>
        </w:rPr>
      </w:pPr>
    </w:p>
    <w:p w14:paraId="4564CCE6" w14:textId="77777777" w:rsidR="00957482" w:rsidRDefault="00957482" w:rsidP="00037F87">
      <w:pPr>
        <w:pStyle w:val="ListParagraph"/>
        <w:numPr>
          <w:ilvl w:val="0"/>
          <w:numId w:val="29"/>
        </w:numPr>
        <w:tabs>
          <w:tab w:val="left" w:pos="540"/>
        </w:tabs>
        <w:spacing w:after="0" w:line="240" w:lineRule="auto"/>
        <w:rPr>
          <w:sz w:val="24"/>
          <w:szCs w:val="24"/>
        </w:rPr>
      </w:pPr>
      <w:r>
        <w:rPr>
          <w:sz w:val="24"/>
          <w:szCs w:val="24"/>
        </w:rPr>
        <w:t>“I was more comfortable going to OLC because they’re not like other colleges.  The students</w:t>
      </w:r>
      <w:r w:rsidR="00E73EF9">
        <w:rPr>
          <w:sz w:val="24"/>
          <w:szCs w:val="24"/>
        </w:rPr>
        <w:t xml:space="preserve"> there are older, we have teachers that are Native. We can laugh and joke. Rez </w:t>
      </w:r>
      <w:r w:rsidR="00172162">
        <w:rPr>
          <w:sz w:val="24"/>
          <w:szCs w:val="24"/>
        </w:rPr>
        <w:t>[“rez” is slang for “reservation”]</w:t>
      </w:r>
      <w:r w:rsidR="009D1034">
        <w:rPr>
          <w:sz w:val="24"/>
          <w:szCs w:val="24"/>
        </w:rPr>
        <w:t xml:space="preserve"> </w:t>
      </w:r>
      <w:r w:rsidR="00E73EF9">
        <w:rPr>
          <w:sz w:val="24"/>
          <w:szCs w:val="24"/>
        </w:rPr>
        <w:t>humor, no one understands what rez humor is</w:t>
      </w:r>
      <w:r w:rsidR="00172162">
        <w:rPr>
          <w:sz w:val="24"/>
          <w:szCs w:val="24"/>
        </w:rPr>
        <w:t>.</w:t>
      </w:r>
      <w:r w:rsidR="00E73EF9">
        <w:rPr>
          <w:sz w:val="24"/>
          <w:szCs w:val="24"/>
        </w:rPr>
        <w:t xml:space="preserve">” </w:t>
      </w:r>
      <w:r>
        <w:rPr>
          <w:sz w:val="24"/>
          <w:szCs w:val="24"/>
        </w:rPr>
        <w:t xml:space="preserve"> </w:t>
      </w:r>
    </w:p>
    <w:p w14:paraId="471576E9" w14:textId="77777777" w:rsidR="0003065A" w:rsidRDefault="00957482" w:rsidP="00037F87">
      <w:pPr>
        <w:pStyle w:val="ListParagraph"/>
        <w:numPr>
          <w:ilvl w:val="0"/>
          <w:numId w:val="29"/>
        </w:numPr>
        <w:tabs>
          <w:tab w:val="left" w:pos="540"/>
        </w:tabs>
        <w:spacing w:after="0" w:line="240" w:lineRule="auto"/>
        <w:rPr>
          <w:sz w:val="24"/>
          <w:szCs w:val="24"/>
        </w:rPr>
      </w:pPr>
      <w:r>
        <w:rPr>
          <w:sz w:val="24"/>
          <w:szCs w:val="24"/>
        </w:rPr>
        <w:t>“I get annoyed with kids that are high school age, most don’t have any real life experience and they complain about petty stuff. I’m probably not that much older, but what I’</w:t>
      </w:r>
      <w:r w:rsidR="00B84C98">
        <w:rPr>
          <w:sz w:val="24"/>
          <w:szCs w:val="24"/>
        </w:rPr>
        <w:t xml:space="preserve">ve been through… </w:t>
      </w:r>
      <w:r w:rsidR="00172162">
        <w:rPr>
          <w:sz w:val="24"/>
          <w:szCs w:val="24"/>
        </w:rPr>
        <w:t>[</w:t>
      </w:r>
      <w:r w:rsidR="00B84C98">
        <w:rPr>
          <w:sz w:val="24"/>
          <w:szCs w:val="24"/>
        </w:rPr>
        <w:t>long sigh</w:t>
      </w:r>
      <w:r w:rsidR="00172162">
        <w:rPr>
          <w:sz w:val="24"/>
          <w:szCs w:val="24"/>
        </w:rPr>
        <w:t>]</w:t>
      </w:r>
      <w:r w:rsidR="00B84C98">
        <w:rPr>
          <w:sz w:val="24"/>
          <w:szCs w:val="24"/>
        </w:rPr>
        <w:t>. But OLC is cool, mostly everyone is older and from the</w:t>
      </w:r>
      <w:r w:rsidR="00226274">
        <w:rPr>
          <w:sz w:val="24"/>
          <w:szCs w:val="24"/>
        </w:rPr>
        <w:t xml:space="preserve"> rez. E</w:t>
      </w:r>
      <w:r w:rsidR="00B84C98">
        <w:rPr>
          <w:sz w:val="24"/>
          <w:szCs w:val="24"/>
        </w:rPr>
        <w:t xml:space="preserve">veryone from the rez </w:t>
      </w:r>
      <w:r w:rsidR="00226274">
        <w:rPr>
          <w:sz w:val="24"/>
          <w:szCs w:val="24"/>
        </w:rPr>
        <w:t>has family that served, World War, Nam, so t</w:t>
      </w:r>
      <w:r w:rsidR="00CC5F33">
        <w:rPr>
          <w:sz w:val="24"/>
          <w:szCs w:val="24"/>
        </w:rPr>
        <w:t xml:space="preserve">hey don’t ask </w:t>
      </w:r>
      <w:r w:rsidR="00226274">
        <w:rPr>
          <w:sz w:val="24"/>
          <w:szCs w:val="24"/>
        </w:rPr>
        <w:t xml:space="preserve">me </w:t>
      </w:r>
      <w:r w:rsidR="00F53D1D">
        <w:rPr>
          <w:sz w:val="24"/>
          <w:szCs w:val="24"/>
        </w:rPr>
        <w:t xml:space="preserve">dumb questions like </w:t>
      </w:r>
      <w:r w:rsidR="00CC5F33">
        <w:rPr>
          <w:sz w:val="24"/>
          <w:szCs w:val="24"/>
        </w:rPr>
        <w:t xml:space="preserve">what I </w:t>
      </w:r>
      <w:r w:rsidR="00226274">
        <w:rPr>
          <w:sz w:val="24"/>
          <w:szCs w:val="24"/>
        </w:rPr>
        <w:t>did when I was in</w:t>
      </w:r>
      <w:r w:rsidR="00172162">
        <w:rPr>
          <w:sz w:val="24"/>
          <w:szCs w:val="24"/>
        </w:rPr>
        <w:t>.</w:t>
      </w:r>
      <w:r w:rsidR="00CC5F33">
        <w:rPr>
          <w:sz w:val="24"/>
          <w:szCs w:val="24"/>
        </w:rPr>
        <w:t>”</w:t>
      </w:r>
    </w:p>
    <w:p w14:paraId="1D7F9CF1" w14:textId="77777777" w:rsidR="00957482" w:rsidRDefault="00BF14EE" w:rsidP="00037F87">
      <w:pPr>
        <w:pStyle w:val="ListParagraph"/>
        <w:numPr>
          <w:ilvl w:val="0"/>
          <w:numId w:val="29"/>
        </w:numPr>
        <w:tabs>
          <w:tab w:val="left" w:pos="540"/>
        </w:tabs>
        <w:spacing w:after="0" w:line="240" w:lineRule="auto"/>
        <w:rPr>
          <w:sz w:val="24"/>
          <w:szCs w:val="24"/>
        </w:rPr>
      </w:pPr>
      <w:r>
        <w:rPr>
          <w:sz w:val="24"/>
          <w:szCs w:val="24"/>
        </w:rPr>
        <w:t xml:space="preserve">“I didn’t know what I was gonna do when I got out of the Army. I was in for 8 years and two deployments, I just knew I couldn’t do </w:t>
      </w:r>
      <w:r w:rsidR="00226274">
        <w:rPr>
          <w:sz w:val="24"/>
          <w:szCs w:val="24"/>
        </w:rPr>
        <w:t xml:space="preserve">it </w:t>
      </w:r>
      <w:r>
        <w:rPr>
          <w:sz w:val="24"/>
          <w:szCs w:val="24"/>
        </w:rPr>
        <w:t xml:space="preserve">anymore. I needed to move home and be with family, but what about a job?  In the Army I was a </w:t>
      </w:r>
      <w:r w:rsidR="000A5CE4">
        <w:rPr>
          <w:i/>
          <w:sz w:val="24"/>
          <w:szCs w:val="24"/>
        </w:rPr>
        <w:t>ChemD</w:t>
      </w:r>
      <w:r w:rsidRPr="00BF14EE">
        <w:rPr>
          <w:i/>
          <w:sz w:val="24"/>
          <w:szCs w:val="24"/>
        </w:rPr>
        <w:t>awg</w:t>
      </w:r>
      <w:r>
        <w:rPr>
          <w:i/>
          <w:sz w:val="24"/>
          <w:szCs w:val="24"/>
        </w:rPr>
        <w:t xml:space="preserve"> </w:t>
      </w:r>
      <w:r w:rsidR="00172162">
        <w:rPr>
          <w:sz w:val="24"/>
          <w:szCs w:val="24"/>
        </w:rPr>
        <w:t>[</w:t>
      </w:r>
      <w:r>
        <w:rPr>
          <w:sz w:val="24"/>
          <w:szCs w:val="24"/>
        </w:rPr>
        <w:t>the term used for Chemical Specialist</w:t>
      </w:r>
      <w:r w:rsidR="00172162">
        <w:rPr>
          <w:sz w:val="24"/>
          <w:szCs w:val="24"/>
        </w:rPr>
        <w:t>]</w:t>
      </w:r>
      <w:r>
        <w:rPr>
          <w:sz w:val="24"/>
          <w:szCs w:val="24"/>
        </w:rPr>
        <w:t xml:space="preserve">, that translates to nothing in the civilian world. Now I’m taking classes at OLC to be </w:t>
      </w:r>
      <w:r w:rsidR="00226274">
        <w:rPr>
          <w:sz w:val="24"/>
          <w:szCs w:val="24"/>
        </w:rPr>
        <w:t xml:space="preserve">a </w:t>
      </w:r>
      <w:r>
        <w:rPr>
          <w:sz w:val="24"/>
          <w:szCs w:val="24"/>
        </w:rPr>
        <w:t>substance abuse counselor. I don’</w:t>
      </w:r>
      <w:r w:rsidR="00226274">
        <w:rPr>
          <w:sz w:val="24"/>
          <w:szCs w:val="24"/>
        </w:rPr>
        <w:t>t e</w:t>
      </w:r>
      <w:r>
        <w:rPr>
          <w:sz w:val="24"/>
          <w:szCs w:val="24"/>
        </w:rPr>
        <w:t xml:space="preserve">ven know why I chose that. I </w:t>
      </w:r>
      <w:r w:rsidR="00226274">
        <w:rPr>
          <w:sz w:val="24"/>
          <w:szCs w:val="24"/>
        </w:rPr>
        <w:t xml:space="preserve">guess… I don’t know, </w:t>
      </w:r>
      <w:r>
        <w:rPr>
          <w:sz w:val="24"/>
          <w:szCs w:val="24"/>
        </w:rPr>
        <w:t>ju</w:t>
      </w:r>
      <w:r w:rsidR="00226274">
        <w:rPr>
          <w:sz w:val="24"/>
          <w:szCs w:val="24"/>
        </w:rPr>
        <w:t>st needed to do something, anything to keep me busy so I don’t have to think about stuff</w:t>
      </w:r>
      <w:r w:rsidR="00172162">
        <w:rPr>
          <w:sz w:val="24"/>
          <w:szCs w:val="24"/>
        </w:rPr>
        <w:t>.</w:t>
      </w:r>
      <w:r>
        <w:rPr>
          <w:sz w:val="24"/>
          <w:szCs w:val="24"/>
        </w:rPr>
        <w:t>”</w:t>
      </w:r>
    </w:p>
    <w:p w14:paraId="43B48A4A" w14:textId="77777777" w:rsidR="00226274" w:rsidRDefault="00226274" w:rsidP="00037F87">
      <w:pPr>
        <w:pStyle w:val="ListParagraph"/>
        <w:numPr>
          <w:ilvl w:val="0"/>
          <w:numId w:val="29"/>
        </w:numPr>
        <w:tabs>
          <w:tab w:val="left" w:pos="540"/>
        </w:tabs>
        <w:spacing w:after="0" w:line="240" w:lineRule="auto"/>
        <w:rPr>
          <w:sz w:val="24"/>
          <w:szCs w:val="24"/>
        </w:rPr>
      </w:pPr>
      <w:r>
        <w:rPr>
          <w:sz w:val="24"/>
          <w:szCs w:val="24"/>
        </w:rPr>
        <w:t>“I got out and came home. I felt lost. Everything was so different, but the same. Maybe it’s just me that’s dif</w:t>
      </w:r>
      <w:r w:rsidR="00023AF0">
        <w:rPr>
          <w:sz w:val="24"/>
          <w:szCs w:val="24"/>
        </w:rPr>
        <w:t>ferent. I always feel like I have</w:t>
      </w:r>
      <w:r>
        <w:rPr>
          <w:sz w:val="24"/>
          <w:szCs w:val="24"/>
        </w:rPr>
        <w:t xml:space="preserve"> to be doing something, </w:t>
      </w:r>
      <w:r w:rsidR="00023AF0">
        <w:rPr>
          <w:sz w:val="24"/>
          <w:szCs w:val="24"/>
        </w:rPr>
        <w:t xml:space="preserve">just </w:t>
      </w:r>
      <w:r>
        <w:rPr>
          <w:sz w:val="24"/>
          <w:szCs w:val="24"/>
        </w:rPr>
        <w:t xml:space="preserve">stay busy. I don’t know what it’s like to chill out and watch </w:t>
      </w:r>
      <w:r w:rsidR="00815BA4">
        <w:rPr>
          <w:sz w:val="24"/>
          <w:szCs w:val="24"/>
        </w:rPr>
        <w:t>TV</w:t>
      </w:r>
      <w:r>
        <w:rPr>
          <w:sz w:val="24"/>
          <w:szCs w:val="24"/>
        </w:rPr>
        <w:t>. I feel nervous and anxious but I don’t know why. My friends</w:t>
      </w:r>
      <w:r w:rsidR="00EA4C7F">
        <w:rPr>
          <w:sz w:val="24"/>
          <w:szCs w:val="24"/>
        </w:rPr>
        <w:t xml:space="preserve"> and cousins</w:t>
      </w:r>
      <w:r>
        <w:rPr>
          <w:sz w:val="24"/>
          <w:szCs w:val="24"/>
        </w:rPr>
        <w:t xml:space="preserve"> told me to go the VA but I didn’t want to, I don’t like hospitals. </w:t>
      </w:r>
      <w:r w:rsidR="00EA4C7F">
        <w:rPr>
          <w:sz w:val="24"/>
          <w:szCs w:val="24"/>
        </w:rPr>
        <w:t>I just decided to go to school, I needed to be doing something. I didn’t feel ready to work, I can’t go from where I’ve been to come back and flip burgers, that’s crazy. So I guess I’m in school, get my GI Bill for now til I figure what to do</w:t>
      </w:r>
      <w:r w:rsidR="0086313E">
        <w:rPr>
          <w:sz w:val="24"/>
          <w:szCs w:val="24"/>
        </w:rPr>
        <w:t>.”</w:t>
      </w:r>
    </w:p>
    <w:p w14:paraId="002A1054" w14:textId="77777777" w:rsidR="00EF0190" w:rsidRDefault="00EF0190" w:rsidP="005A7358">
      <w:pPr>
        <w:tabs>
          <w:tab w:val="left" w:pos="540"/>
        </w:tabs>
        <w:spacing w:after="0" w:line="240" w:lineRule="auto"/>
        <w:jc w:val="both"/>
        <w:rPr>
          <w:sz w:val="24"/>
          <w:szCs w:val="24"/>
        </w:rPr>
      </w:pPr>
    </w:p>
    <w:p w14:paraId="68C11904" w14:textId="2D1E67AC" w:rsidR="005A7358" w:rsidRPr="00EF0190" w:rsidRDefault="00EF0190" w:rsidP="006461C5">
      <w:pPr>
        <w:tabs>
          <w:tab w:val="left" w:pos="540"/>
        </w:tabs>
        <w:spacing w:after="0" w:line="240" w:lineRule="auto"/>
        <w:rPr>
          <w:sz w:val="24"/>
          <w:szCs w:val="24"/>
        </w:rPr>
      </w:pPr>
      <w:r>
        <w:rPr>
          <w:sz w:val="24"/>
          <w:szCs w:val="24"/>
        </w:rPr>
        <w:t xml:space="preserve">These are all Veterans who served during OEF/OIF/OND.  All of them had been deployed to areas of conflict, which seems to be common among AIAN Veterans. Many AIAN Veterans </w:t>
      </w:r>
      <w:r w:rsidR="006E1560">
        <w:rPr>
          <w:sz w:val="24"/>
          <w:szCs w:val="24"/>
        </w:rPr>
        <w:t>return</w:t>
      </w:r>
      <w:r>
        <w:rPr>
          <w:sz w:val="24"/>
          <w:szCs w:val="24"/>
        </w:rPr>
        <w:t xml:space="preserve"> to the</w:t>
      </w:r>
      <w:r w:rsidR="006E1560">
        <w:rPr>
          <w:sz w:val="24"/>
          <w:szCs w:val="24"/>
        </w:rPr>
        <w:t xml:space="preserve"> reservation where they grew up;</w:t>
      </w:r>
      <w:r>
        <w:rPr>
          <w:sz w:val="24"/>
          <w:szCs w:val="24"/>
        </w:rPr>
        <w:t xml:space="preserve"> it’s always referred to as </w:t>
      </w:r>
      <w:r>
        <w:rPr>
          <w:i/>
          <w:sz w:val="24"/>
          <w:szCs w:val="24"/>
        </w:rPr>
        <w:t xml:space="preserve">home.  </w:t>
      </w:r>
      <w:r>
        <w:rPr>
          <w:sz w:val="24"/>
          <w:szCs w:val="24"/>
        </w:rPr>
        <w:t>For many, they state they want to return</w:t>
      </w:r>
      <w:r w:rsidR="000A5CE4">
        <w:rPr>
          <w:sz w:val="24"/>
          <w:szCs w:val="24"/>
        </w:rPr>
        <w:t xml:space="preserve"> to something that is familiar </w:t>
      </w:r>
      <w:r>
        <w:rPr>
          <w:sz w:val="24"/>
          <w:szCs w:val="24"/>
        </w:rPr>
        <w:t xml:space="preserve">and to be around family and friends. </w:t>
      </w:r>
    </w:p>
    <w:p w14:paraId="52E998A1" w14:textId="77777777" w:rsidR="00DE4E0B" w:rsidRPr="00C04179" w:rsidRDefault="00DE4E0B" w:rsidP="00DE4E0B">
      <w:pPr>
        <w:pStyle w:val="ListParagraph"/>
        <w:tabs>
          <w:tab w:val="left" w:pos="540"/>
        </w:tabs>
        <w:spacing w:after="0" w:line="240" w:lineRule="auto"/>
        <w:ind w:left="540"/>
        <w:jc w:val="both"/>
        <w:rPr>
          <w:sz w:val="24"/>
          <w:szCs w:val="24"/>
          <w:u w:val="single"/>
        </w:rPr>
      </w:pPr>
    </w:p>
    <w:p w14:paraId="6691291C" w14:textId="77777777" w:rsidR="00023AF0" w:rsidRPr="00C24157" w:rsidRDefault="003917D4" w:rsidP="00C24157">
      <w:pPr>
        <w:pStyle w:val="Heading1"/>
      </w:pPr>
      <w:r w:rsidRPr="00C24157">
        <w:lastRenderedPageBreak/>
        <w:t>Conclusions</w:t>
      </w:r>
    </w:p>
    <w:p w14:paraId="4E33E371" w14:textId="77777777" w:rsidR="00F054B8" w:rsidRDefault="000A5CE4" w:rsidP="00D7239E">
      <w:pPr>
        <w:tabs>
          <w:tab w:val="left" w:pos="540"/>
        </w:tabs>
        <w:spacing w:after="0" w:line="240" w:lineRule="auto"/>
        <w:rPr>
          <w:sz w:val="24"/>
          <w:szCs w:val="24"/>
        </w:rPr>
      </w:pPr>
      <w:r w:rsidRPr="00511C9F">
        <w:rPr>
          <w:sz w:val="24"/>
          <w:szCs w:val="24"/>
        </w:rPr>
        <w:t>Tribal Colleges</w:t>
      </w:r>
      <w:r w:rsidR="00CA470C" w:rsidRPr="00511C9F">
        <w:rPr>
          <w:sz w:val="24"/>
          <w:szCs w:val="24"/>
        </w:rPr>
        <w:t xml:space="preserve"> and Universities provide a unique opportunity for the</w:t>
      </w:r>
      <w:r w:rsidR="00A84E84" w:rsidRPr="00511C9F">
        <w:rPr>
          <w:sz w:val="24"/>
          <w:szCs w:val="24"/>
        </w:rPr>
        <w:t xml:space="preserve"> V</w:t>
      </w:r>
      <w:r w:rsidR="00CA470C" w:rsidRPr="00511C9F">
        <w:rPr>
          <w:sz w:val="24"/>
          <w:szCs w:val="24"/>
        </w:rPr>
        <w:t>H</w:t>
      </w:r>
      <w:r w:rsidR="00A84E84" w:rsidRPr="00511C9F">
        <w:rPr>
          <w:sz w:val="24"/>
          <w:szCs w:val="24"/>
        </w:rPr>
        <w:t>A</w:t>
      </w:r>
      <w:r w:rsidR="00CA470C" w:rsidRPr="00511C9F">
        <w:rPr>
          <w:sz w:val="24"/>
          <w:szCs w:val="24"/>
        </w:rPr>
        <w:t xml:space="preserve"> to collaborate and</w:t>
      </w:r>
      <w:r w:rsidR="00A84E84" w:rsidRPr="00511C9F">
        <w:rPr>
          <w:sz w:val="24"/>
          <w:szCs w:val="24"/>
        </w:rPr>
        <w:t xml:space="preserve"> reach out to AIAN Veterans, specifically, those returning from </w:t>
      </w:r>
      <w:r w:rsidR="008C3F11" w:rsidRPr="00511C9F">
        <w:rPr>
          <w:sz w:val="24"/>
          <w:szCs w:val="24"/>
        </w:rPr>
        <w:t>recent conflicts.  Many of the</w:t>
      </w:r>
      <w:r w:rsidR="00A84E84" w:rsidRPr="00511C9F">
        <w:rPr>
          <w:sz w:val="24"/>
          <w:szCs w:val="24"/>
        </w:rPr>
        <w:t xml:space="preserve"> Veterans</w:t>
      </w:r>
      <w:r w:rsidR="00F62BCD" w:rsidRPr="00511C9F">
        <w:rPr>
          <w:sz w:val="24"/>
          <w:szCs w:val="24"/>
        </w:rPr>
        <w:t>,</w:t>
      </w:r>
      <w:r w:rsidR="00A84E84" w:rsidRPr="00511C9F">
        <w:rPr>
          <w:sz w:val="24"/>
          <w:szCs w:val="24"/>
        </w:rPr>
        <w:t xml:space="preserve"> </w:t>
      </w:r>
      <w:r w:rsidR="00F62BCD" w:rsidRPr="00511C9F">
        <w:rPr>
          <w:sz w:val="24"/>
          <w:szCs w:val="24"/>
        </w:rPr>
        <w:t xml:space="preserve">who commented, </w:t>
      </w:r>
      <w:r w:rsidR="00A84E84" w:rsidRPr="00511C9F">
        <w:rPr>
          <w:sz w:val="24"/>
          <w:szCs w:val="24"/>
        </w:rPr>
        <w:t>were only receiving education b</w:t>
      </w:r>
      <w:r w:rsidR="00F62BCD" w:rsidRPr="00511C9F">
        <w:rPr>
          <w:sz w:val="24"/>
          <w:szCs w:val="24"/>
        </w:rPr>
        <w:t xml:space="preserve">enefits, but had not applied </w:t>
      </w:r>
      <w:r w:rsidR="00D007AC" w:rsidRPr="00511C9F">
        <w:rPr>
          <w:sz w:val="24"/>
          <w:szCs w:val="24"/>
        </w:rPr>
        <w:t xml:space="preserve">for </w:t>
      </w:r>
      <w:r w:rsidR="00F62BCD" w:rsidRPr="00511C9F">
        <w:rPr>
          <w:sz w:val="24"/>
          <w:szCs w:val="24"/>
        </w:rPr>
        <w:t>nor were</w:t>
      </w:r>
      <w:r w:rsidR="00A84E84" w:rsidRPr="00511C9F">
        <w:rPr>
          <w:sz w:val="24"/>
          <w:szCs w:val="24"/>
        </w:rPr>
        <w:t xml:space="preserve"> enrolled to receive h</w:t>
      </w:r>
      <w:r w:rsidR="00A01BCA" w:rsidRPr="00511C9F">
        <w:rPr>
          <w:sz w:val="24"/>
          <w:szCs w:val="24"/>
        </w:rPr>
        <w:t xml:space="preserve">ealthcare through the local VA.  Veterans </w:t>
      </w:r>
      <w:r w:rsidR="00D007AC" w:rsidRPr="00511C9F">
        <w:rPr>
          <w:sz w:val="24"/>
          <w:szCs w:val="24"/>
        </w:rPr>
        <w:t xml:space="preserve">may not </w:t>
      </w:r>
      <w:r w:rsidR="00613127" w:rsidRPr="00511C9F">
        <w:rPr>
          <w:sz w:val="24"/>
          <w:szCs w:val="24"/>
        </w:rPr>
        <w:t>aware of programs, services or</w:t>
      </w:r>
      <w:r w:rsidR="00D007AC" w:rsidRPr="00511C9F">
        <w:rPr>
          <w:sz w:val="24"/>
          <w:szCs w:val="24"/>
        </w:rPr>
        <w:t xml:space="preserve"> </w:t>
      </w:r>
      <w:r w:rsidR="00A01BCA" w:rsidRPr="00511C9F">
        <w:rPr>
          <w:sz w:val="24"/>
          <w:szCs w:val="24"/>
        </w:rPr>
        <w:t>earned benefits</w:t>
      </w:r>
      <w:r w:rsidR="00613127" w:rsidRPr="00511C9F">
        <w:rPr>
          <w:sz w:val="24"/>
          <w:szCs w:val="24"/>
        </w:rPr>
        <w:t xml:space="preserve"> that are available to them</w:t>
      </w:r>
      <w:r w:rsidR="00A01BCA" w:rsidRPr="00511C9F">
        <w:rPr>
          <w:sz w:val="24"/>
          <w:szCs w:val="24"/>
        </w:rPr>
        <w:t>. The transition from military back to c</w:t>
      </w:r>
      <w:r w:rsidR="00CA470C" w:rsidRPr="00511C9F">
        <w:rPr>
          <w:sz w:val="24"/>
          <w:szCs w:val="24"/>
        </w:rPr>
        <w:t xml:space="preserve">ivilian life can be a </w:t>
      </w:r>
      <w:r w:rsidR="00A01BCA" w:rsidRPr="00511C9F">
        <w:rPr>
          <w:sz w:val="24"/>
          <w:szCs w:val="24"/>
        </w:rPr>
        <w:t>difficult time, but with resources and guidance</w:t>
      </w:r>
      <w:r w:rsidR="00613127" w:rsidRPr="00511C9F">
        <w:rPr>
          <w:sz w:val="24"/>
          <w:szCs w:val="24"/>
        </w:rPr>
        <w:t xml:space="preserve"> from TCU staff along with VHA</w:t>
      </w:r>
      <w:r w:rsidR="00A01BCA" w:rsidRPr="00511C9F">
        <w:rPr>
          <w:sz w:val="24"/>
          <w:szCs w:val="24"/>
        </w:rPr>
        <w:t>, there is an opportun</w:t>
      </w:r>
      <w:r w:rsidR="00CA470C" w:rsidRPr="00511C9F">
        <w:rPr>
          <w:sz w:val="24"/>
          <w:szCs w:val="24"/>
        </w:rPr>
        <w:t>ity t</w:t>
      </w:r>
      <w:r w:rsidR="00613127" w:rsidRPr="00511C9F">
        <w:rPr>
          <w:sz w:val="24"/>
          <w:szCs w:val="24"/>
        </w:rPr>
        <w:t>o ease the process and ensure these Veterans are getting the services and care they have rightfully earned.</w:t>
      </w:r>
    </w:p>
    <w:p w14:paraId="71F0EBEA" w14:textId="77777777" w:rsidR="00F054B8" w:rsidRDefault="00F054B8" w:rsidP="00D7239E">
      <w:pPr>
        <w:tabs>
          <w:tab w:val="left" w:pos="540"/>
        </w:tabs>
        <w:spacing w:after="0" w:line="240" w:lineRule="auto"/>
        <w:rPr>
          <w:sz w:val="24"/>
          <w:szCs w:val="24"/>
        </w:rPr>
      </w:pPr>
    </w:p>
    <w:p w14:paraId="02FFB3EE" w14:textId="37A938B3" w:rsidR="00D7239E" w:rsidRDefault="00D7239E" w:rsidP="00D7239E">
      <w:pPr>
        <w:tabs>
          <w:tab w:val="left" w:pos="540"/>
        </w:tabs>
        <w:spacing w:after="0" w:line="240" w:lineRule="auto"/>
        <w:rPr>
          <w:sz w:val="24"/>
          <w:szCs w:val="24"/>
        </w:rPr>
      </w:pPr>
      <w:r>
        <w:rPr>
          <w:sz w:val="24"/>
          <w:szCs w:val="24"/>
        </w:rPr>
        <w:t>Providing and improving educational opportunities for Veterans and their families is only a small piece of a much larger initiative that seeks to promote health and well-being and reduce racial/ethnic health disparities by addressing social determinants of health. Education is one of five main facets of social determinants</w:t>
      </w:r>
      <w:r w:rsidRPr="00A81A8E">
        <w:rPr>
          <w:sz w:val="24"/>
          <w:szCs w:val="24"/>
        </w:rPr>
        <w:t xml:space="preserve"> </w:t>
      </w:r>
      <w:r>
        <w:rPr>
          <w:sz w:val="24"/>
          <w:szCs w:val="24"/>
        </w:rPr>
        <w:t>of health, developed by Healthy People.  Education can also directly impact the other four facets:  economic stability, social and community context, health and healthcare, and neighborhood and built environment. [9]</w:t>
      </w:r>
    </w:p>
    <w:p w14:paraId="26A6567A" w14:textId="77777777" w:rsidR="00D7239E" w:rsidRDefault="00D7239E" w:rsidP="00D7239E">
      <w:pPr>
        <w:tabs>
          <w:tab w:val="left" w:pos="540"/>
        </w:tabs>
        <w:spacing w:after="0" w:line="240" w:lineRule="auto"/>
        <w:rPr>
          <w:sz w:val="24"/>
          <w:szCs w:val="24"/>
        </w:rPr>
      </w:pPr>
    </w:p>
    <w:p w14:paraId="67F24C38" w14:textId="77777777" w:rsidR="00F16582" w:rsidRDefault="00A540CD" w:rsidP="00C24157">
      <w:pPr>
        <w:tabs>
          <w:tab w:val="left" w:pos="540"/>
        </w:tabs>
        <w:spacing w:after="0" w:line="240" w:lineRule="auto"/>
        <w:ind w:left="2880"/>
        <w:rPr>
          <w:sz w:val="24"/>
          <w:szCs w:val="24"/>
        </w:rPr>
      </w:pPr>
      <w:r w:rsidRPr="00A540CD">
        <w:rPr>
          <w:noProof/>
          <w:sz w:val="24"/>
          <w:szCs w:val="24"/>
        </w:rPr>
        <mc:AlternateContent>
          <mc:Choice Requires="wps">
            <w:drawing>
              <wp:inline distT="0" distB="0" distL="0" distR="0" wp14:anchorId="6760F041" wp14:editId="3BB9F4D4">
                <wp:extent cx="2360930" cy="1404620"/>
                <wp:effectExtent l="0" t="0" r="20320" b="1016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F667C13" w14:textId="77777777" w:rsidR="00A540CD" w:rsidRPr="00A540CD" w:rsidRDefault="00A540CD">
                            <w:pPr>
                              <w:rPr>
                                <w:i/>
                              </w:rPr>
                            </w:pPr>
                            <w:r w:rsidRPr="00A540CD">
                              <w:rPr>
                                <w:i/>
                                <w:sz w:val="24"/>
                                <w:szCs w:val="24"/>
                              </w:rPr>
                              <w:t xml:space="preserve">According to Healthy People 2020, “health is also determined in part by access to social and economic opportunities; resources and support available in our homes, neighborhoods, and communities; the quality of our schooling; the safety of our workplaces; the cleanliness of our water, food, and air; and the nature of our social interactions and relationships.” </w:t>
                            </w:r>
                            <w:r w:rsidR="00D23427">
                              <w:rPr>
                                <w:i/>
                                <w:sz w:val="24"/>
                                <w:szCs w:val="24"/>
                              </w:rPr>
                              <w:t>[8]</w:t>
                            </w:r>
                            <w:r w:rsidRPr="00A540CD">
                              <w:rPr>
                                <w:i/>
                                <w:sz w:val="24"/>
                                <w:szCs w:val="24"/>
                              </w:rPr>
                              <w:t xml:space="preserve"> </w:t>
                            </w:r>
                          </w:p>
                        </w:txbxContent>
                      </wps:txbx>
                      <wps:bodyPr rot="0" vert="horz" wrap="square" lIns="91440" tIns="45720" rIns="91440" bIns="45720" anchor="t" anchorCtr="0">
                        <a:spAutoFit/>
                      </wps:bodyPr>
                    </wps:wsp>
                  </a:graphicData>
                </a:graphic>
              </wp:inline>
            </w:drawing>
          </mc:Choice>
          <mc:Fallback>
            <w:pict>
              <v:shape w14:anchorId="6760F041" id="_x0000_s1032"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zpJwIAAEw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BEU6zpJwIAAEwEAAAOAAAAAAAAAAAAAAAAAC4CAABkcnMvZTJvRG9j&#10;LnhtbFBLAQItABQABgAIAAAAIQBKFBAm3AAAAAUBAAAPAAAAAAAAAAAAAAAAAIEEAABkcnMvZG93&#10;bnJldi54bWxQSwUGAAAAAAQABADzAAAAigUAAAAA&#10;">
                <v:textbox style="mso-fit-shape-to-text:t">
                  <w:txbxContent>
                    <w:p w14:paraId="2F667C13" w14:textId="77777777" w:rsidR="00A540CD" w:rsidRPr="00A540CD" w:rsidRDefault="00A540CD">
                      <w:pPr>
                        <w:rPr>
                          <w:i/>
                        </w:rPr>
                      </w:pPr>
                      <w:r w:rsidRPr="00A540CD">
                        <w:rPr>
                          <w:i/>
                          <w:sz w:val="24"/>
                          <w:szCs w:val="24"/>
                        </w:rPr>
                        <w:t xml:space="preserve">According to Healthy People 2020, “health is also determined in part by access to social and economic opportunities; resources and support available in our homes, neighborhoods, and communities; the quality of our schooling; the safety of our workplaces; the cleanliness of our water, food, and air; and the nature of our social interactions and relationships.” </w:t>
                      </w:r>
                      <w:r w:rsidR="00D23427">
                        <w:rPr>
                          <w:i/>
                          <w:sz w:val="24"/>
                          <w:szCs w:val="24"/>
                        </w:rPr>
                        <w:t>[8]</w:t>
                      </w:r>
                      <w:r w:rsidRPr="00A540CD">
                        <w:rPr>
                          <w:i/>
                          <w:sz w:val="24"/>
                          <w:szCs w:val="24"/>
                        </w:rPr>
                        <w:t xml:space="preserve"> </w:t>
                      </w:r>
                    </w:p>
                  </w:txbxContent>
                </v:textbox>
                <w10:anchorlock/>
              </v:shape>
            </w:pict>
          </mc:Fallback>
        </mc:AlternateContent>
      </w:r>
    </w:p>
    <w:p w14:paraId="6D56B6E3" w14:textId="77777777" w:rsidR="00D17B58" w:rsidRDefault="00D17B58" w:rsidP="006461C5">
      <w:pPr>
        <w:tabs>
          <w:tab w:val="left" w:pos="540"/>
        </w:tabs>
        <w:spacing w:after="0" w:line="240" w:lineRule="auto"/>
        <w:rPr>
          <w:sz w:val="24"/>
          <w:szCs w:val="24"/>
        </w:rPr>
      </w:pPr>
    </w:p>
    <w:p w14:paraId="32B31747" w14:textId="7C685048" w:rsidR="00A84E84" w:rsidRDefault="00A84E84" w:rsidP="006461C5">
      <w:pPr>
        <w:tabs>
          <w:tab w:val="left" w:pos="540"/>
        </w:tabs>
        <w:spacing w:after="0" w:line="240" w:lineRule="auto"/>
        <w:rPr>
          <w:sz w:val="24"/>
          <w:szCs w:val="24"/>
        </w:rPr>
      </w:pPr>
      <w:r>
        <w:rPr>
          <w:sz w:val="24"/>
          <w:szCs w:val="24"/>
        </w:rPr>
        <w:t>Dev</w:t>
      </w:r>
      <w:r w:rsidR="008C3F11">
        <w:rPr>
          <w:sz w:val="24"/>
          <w:szCs w:val="24"/>
        </w:rPr>
        <w:t xml:space="preserve">eloping </w:t>
      </w:r>
      <w:r>
        <w:rPr>
          <w:sz w:val="24"/>
          <w:szCs w:val="24"/>
        </w:rPr>
        <w:t xml:space="preserve">partnerships with TCUs, the local VA, and tribal Veteran programs </w:t>
      </w:r>
      <w:r w:rsidR="00A01BCA">
        <w:rPr>
          <w:sz w:val="24"/>
          <w:szCs w:val="24"/>
        </w:rPr>
        <w:t xml:space="preserve">is a prime example of collaborative efforts that would seek to </w:t>
      </w:r>
      <w:r w:rsidR="00AF76AC">
        <w:rPr>
          <w:sz w:val="24"/>
          <w:szCs w:val="24"/>
        </w:rPr>
        <w:t>identify and a</w:t>
      </w:r>
      <w:r w:rsidR="008C3F11">
        <w:rPr>
          <w:sz w:val="24"/>
          <w:szCs w:val="24"/>
        </w:rPr>
        <w:t>ddress the</w:t>
      </w:r>
      <w:r w:rsidR="00A01BCA">
        <w:rPr>
          <w:sz w:val="24"/>
          <w:szCs w:val="24"/>
        </w:rPr>
        <w:t xml:space="preserve"> various </w:t>
      </w:r>
      <w:r w:rsidR="008C3F11">
        <w:rPr>
          <w:sz w:val="24"/>
          <w:szCs w:val="24"/>
        </w:rPr>
        <w:t>needs and concerns o</w:t>
      </w:r>
      <w:r>
        <w:rPr>
          <w:sz w:val="24"/>
          <w:szCs w:val="24"/>
        </w:rPr>
        <w:t xml:space="preserve">f rural and highly AIAN Veterans and </w:t>
      </w:r>
      <w:r w:rsidR="008C3F11">
        <w:rPr>
          <w:sz w:val="24"/>
          <w:szCs w:val="24"/>
        </w:rPr>
        <w:t>t</w:t>
      </w:r>
      <w:r w:rsidR="00F054B8">
        <w:rPr>
          <w:sz w:val="24"/>
          <w:szCs w:val="24"/>
        </w:rPr>
        <w:t>heir spouse and/or dependents.</w:t>
      </w:r>
    </w:p>
    <w:p w14:paraId="42B387AA" w14:textId="77777777" w:rsidR="00F054B8" w:rsidRDefault="00F054B8" w:rsidP="006461C5">
      <w:pPr>
        <w:tabs>
          <w:tab w:val="left" w:pos="540"/>
        </w:tabs>
        <w:spacing w:after="0" w:line="240" w:lineRule="auto"/>
        <w:rPr>
          <w:sz w:val="24"/>
          <w:szCs w:val="24"/>
        </w:rPr>
      </w:pPr>
    </w:p>
    <w:p w14:paraId="5E32D96B" w14:textId="52437535" w:rsidR="00564512" w:rsidRDefault="00C119F2" w:rsidP="006461C5">
      <w:pPr>
        <w:pStyle w:val="ListParagraph"/>
        <w:numPr>
          <w:ilvl w:val="0"/>
          <w:numId w:val="30"/>
        </w:numPr>
        <w:tabs>
          <w:tab w:val="left" w:pos="540"/>
        </w:tabs>
        <w:spacing w:after="0" w:line="240" w:lineRule="auto"/>
        <w:ind w:left="540" w:hanging="540"/>
        <w:rPr>
          <w:sz w:val="24"/>
          <w:szCs w:val="24"/>
        </w:rPr>
      </w:pPr>
      <w:r>
        <w:rPr>
          <w:sz w:val="24"/>
          <w:szCs w:val="24"/>
        </w:rPr>
        <w:t>Refer to App</w:t>
      </w:r>
      <w:r w:rsidR="009D4F83">
        <w:rPr>
          <w:sz w:val="24"/>
          <w:szCs w:val="24"/>
        </w:rPr>
        <w:t>endix B for addi</w:t>
      </w:r>
      <w:r w:rsidR="00D17B58">
        <w:rPr>
          <w:sz w:val="24"/>
          <w:szCs w:val="24"/>
        </w:rPr>
        <w:t xml:space="preserve">tional information on TCUs, </w:t>
      </w:r>
      <w:r w:rsidR="00473443">
        <w:rPr>
          <w:sz w:val="24"/>
          <w:szCs w:val="24"/>
        </w:rPr>
        <w:t xml:space="preserve">and </w:t>
      </w:r>
      <w:r w:rsidR="009D4F83">
        <w:rPr>
          <w:sz w:val="24"/>
          <w:szCs w:val="24"/>
        </w:rPr>
        <w:t xml:space="preserve">resources </w:t>
      </w:r>
      <w:r w:rsidR="00D17B58">
        <w:rPr>
          <w:sz w:val="24"/>
          <w:szCs w:val="24"/>
        </w:rPr>
        <w:t>f</w:t>
      </w:r>
      <w:r w:rsidR="00473443">
        <w:rPr>
          <w:sz w:val="24"/>
          <w:szCs w:val="24"/>
        </w:rPr>
        <w:t>or Veterans and their families</w:t>
      </w:r>
    </w:p>
    <w:p w14:paraId="00F44FD8" w14:textId="77777777" w:rsidR="00564512" w:rsidRDefault="00564512">
      <w:pPr>
        <w:spacing w:after="160" w:line="259" w:lineRule="auto"/>
        <w:rPr>
          <w:sz w:val="24"/>
          <w:szCs w:val="24"/>
        </w:rPr>
      </w:pPr>
      <w:r>
        <w:rPr>
          <w:sz w:val="24"/>
          <w:szCs w:val="24"/>
        </w:rPr>
        <w:br w:type="page"/>
      </w:r>
    </w:p>
    <w:p w14:paraId="2D05C46C" w14:textId="3CCC8504" w:rsidR="00CE555B" w:rsidRPr="00CC13DE" w:rsidRDefault="00C24157" w:rsidP="005934C7">
      <w:pPr>
        <w:pStyle w:val="Heading1"/>
      </w:pPr>
      <w:r>
        <w:lastRenderedPageBreak/>
        <w:t>References</w:t>
      </w:r>
    </w:p>
    <w:p w14:paraId="514D28B1" w14:textId="77777777" w:rsidR="00CE555B" w:rsidRPr="00F14D05" w:rsidRDefault="00CE555B" w:rsidP="00CE555B">
      <w:pPr>
        <w:kinsoku w:val="0"/>
        <w:overflowPunct w:val="0"/>
        <w:autoSpaceDE w:val="0"/>
        <w:autoSpaceDN w:val="0"/>
        <w:adjustRightInd w:val="0"/>
        <w:spacing w:before="8" w:after="0" w:line="240" w:lineRule="auto"/>
        <w:rPr>
          <w:rFonts w:ascii="Times New Roman" w:hAnsi="Times New Roman" w:cs="Times New Roman"/>
          <w:sz w:val="24"/>
          <w:szCs w:val="24"/>
          <w:u w:val="single"/>
        </w:rPr>
      </w:pPr>
    </w:p>
    <w:p w14:paraId="11E9005F" w14:textId="77777777" w:rsidR="00E927A1" w:rsidRDefault="00CE555B" w:rsidP="00E927A1">
      <w:pPr>
        <w:pStyle w:val="ListParagraph"/>
        <w:numPr>
          <w:ilvl w:val="0"/>
          <w:numId w:val="12"/>
        </w:numPr>
        <w:ind w:left="360"/>
        <w:rPr>
          <w:sz w:val="24"/>
          <w:szCs w:val="24"/>
        </w:rPr>
      </w:pPr>
      <w:r w:rsidRPr="006E46E6">
        <w:rPr>
          <w:sz w:val="24"/>
          <w:szCs w:val="24"/>
        </w:rPr>
        <w:t>Kaufman, C.E., Kaufmann, J., Shangreau, C., Dailey, N., Bair, B., and Shore, J. American Indian Veterans and VA Services in Three Tribes, report.</w:t>
      </w:r>
    </w:p>
    <w:p w14:paraId="7906F3C8" w14:textId="043A7C71" w:rsidR="00E927A1" w:rsidRDefault="00E927A1" w:rsidP="00E927A1">
      <w:pPr>
        <w:pStyle w:val="ListParagraph"/>
        <w:numPr>
          <w:ilvl w:val="0"/>
          <w:numId w:val="12"/>
        </w:numPr>
        <w:ind w:left="360"/>
        <w:rPr>
          <w:sz w:val="24"/>
          <w:szCs w:val="24"/>
        </w:rPr>
      </w:pPr>
      <w:r w:rsidRPr="00E927A1">
        <w:rPr>
          <w:sz w:val="24"/>
          <w:szCs w:val="24"/>
        </w:rPr>
        <w:t>Warne, D. (2006). Research and Educational Approaches to Reducing Health Disparities Among American Indians and Alaska Natives</w:t>
      </w:r>
      <w:r>
        <w:rPr>
          <w:sz w:val="24"/>
          <w:szCs w:val="24"/>
        </w:rPr>
        <w:t xml:space="preserve">. </w:t>
      </w:r>
      <w:r w:rsidRPr="00E927A1">
        <w:rPr>
          <w:i/>
          <w:sz w:val="24"/>
          <w:szCs w:val="24"/>
        </w:rPr>
        <w:t>Journal of Transcultural Nursing</w:t>
      </w:r>
      <w:r w:rsidRPr="00E927A1">
        <w:rPr>
          <w:sz w:val="24"/>
          <w:szCs w:val="24"/>
        </w:rPr>
        <w:t>, Vol. 17 No. 3, July 2006 1-6</w:t>
      </w:r>
      <w:r>
        <w:rPr>
          <w:sz w:val="24"/>
          <w:szCs w:val="24"/>
        </w:rPr>
        <w:t>.</w:t>
      </w:r>
    </w:p>
    <w:p w14:paraId="318E44F4" w14:textId="0BDD8E95" w:rsidR="00307E5D" w:rsidRPr="00307E5D" w:rsidRDefault="00307E5D" w:rsidP="00307E5D">
      <w:pPr>
        <w:pStyle w:val="ListParagraph"/>
        <w:numPr>
          <w:ilvl w:val="0"/>
          <w:numId w:val="12"/>
        </w:numPr>
        <w:ind w:left="360"/>
        <w:rPr>
          <w:sz w:val="24"/>
          <w:szCs w:val="24"/>
        </w:rPr>
      </w:pPr>
      <w:r w:rsidRPr="006E46E6">
        <w:rPr>
          <w:sz w:val="24"/>
          <w:szCs w:val="24"/>
        </w:rPr>
        <w:t>American Indian Higher Education Consortium (2012). 2009-2010 AIHEC AIMS Fact Book.</w:t>
      </w:r>
      <w:r>
        <w:rPr>
          <w:sz w:val="24"/>
          <w:szCs w:val="24"/>
        </w:rPr>
        <w:t xml:space="preserve"> PDF report.</w:t>
      </w:r>
    </w:p>
    <w:p w14:paraId="76ED0587" w14:textId="57E800E8" w:rsidR="00015AAF" w:rsidRDefault="00CE555B" w:rsidP="00015AAF">
      <w:pPr>
        <w:pStyle w:val="ListParagraph"/>
        <w:numPr>
          <w:ilvl w:val="0"/>
          <w:numId w:val="12"/>
        </w:numPr>
        <w:ind w:left="360"/>
        <w:rPr>
          <w:sz w:val="24"/>
          <w:szCs w:val="24"/>
        </w:rPr>
      </w:pPr>
      <w:r>
        <w:rPr>
          <w:sz w:val="24"/>
          <w:szCs w:val="24"/>
        </w:rPr>
        <w:t>American Indian H</w:t>
      </w:r>
      <w:r w:rsidR="00692803">
        <w:rPr>
          <w:sz w:val="24"/>
          <w:szCs w:val="24"/>
        </w:rPr>
        <w:t>igher Education Consortium (201</w:t>
      </w:r>
      <w:r w:rsidR="00E90694">
        <w:rPr>
          <w:sz w:val="24"/>
          <w:szCs w:val="24"/>
        </w:rPr>
        <w:t>8</w:t>
      </w:r>
      <w:r>
        <w:rPr>
          <w:sz w:val="24"/>
          <w:szCs w:val="24"/>
        </w:rPr>
        <w:t xml:space="preserve">). Tribal Colleges and Universities </w:t>
      </w:r>
      <w:r w:rsidR="00692803">
        <w:rPr>
          <w:sz w:val="24"/>
          <w:szCs w:val="24"/>
        </w:rPr>
        <w:t xml:space="preserve">(TCUs) </w:t>
      </w:r>
      <w:r>
        <w:rPr>
          <w:sz w:val="24"/>
          <w:szCs w:val="24"/>
        </w:rPr>
        <w:t xml:space="preserve">Map. </w:t>
      </w:r>
      <w:r w:rsidR="00692803">
        <w:rPr>
          <w:sz w:val="24"/>
          <w:szCs w:val="24"/>
        </w:rPr>
        <w:t xml:space="preserve">Large Map. </w:t>
      </w:r>
      <w:r>
        <w:rPr>
          <w:sz w:val="24"/>
          <w:szCs w:val="24"/>
        </w:rPr>
        <w:t>Retrieved</w:t>
      </w:r>
      <w:r w:rsidR="00E90694">
        <w:rPr>
          <w:sz w:val="24"/>
          <w:szCs w:val="24"/>
        </w:rPr>
        <w:t xml:space="preserve"> January 19, 2018</w:t>
      </w:r>
      <w:r>
        <w:rPr>
          <w:sz w:val="24"/>
          <w:szCs w:val="24"/>
        </w:rPr>
        <w:t xml:space="preserve"> from </w:t>
      </w:r>
      <w:hyperlink r:id="rId9" w:history="1">
        <w:r w:rsidR="00692803" w:rsidRPr="003062AA">
          <w:rPr>
            <w:rStyle w:val="Hyperlink"/>
            <w:sz w:val="24"/>
            <w:szCs w:val="24"/>
          </w:rPr>
          <w:t>http://www.aihec.org/who-we-serve/map.htm</w:t>
        </w:r>
      </w:hyperlink>
      <w:r w:rsidR="00015AAF">
        <w:rPr>
          <w:rStyle w:val="Hyperlink"/>
          <w:sz w:val="24"/>
          <w:szCs w:val="24"/>
        </w:rPr>
        <w:t>.</w:t>
      </w:r>
      <w:r w:rsidR="00692803">
        <w:rPr>
          <w:sz w:val="24"/>
          <w:szCs w:val="24"/>
        </w:rPr>
        <w:t xml:space="preserve"> </w:t>
      </w:r>
    </w:p>
    <w:p w14:paraId="7DFA0DD1" w14:textId="77777777" w:rsidR="00CE555B" w:rsidRPr="00E363D0" w:rsidRDefault="00015AAF" w:rsidP="00E363D0">
      <w:pPr>
        <w:pStyle w:val="ListParagraph"/>
        <w:numPr>
          <w:ilvl w:val="0"/>
          <w:numId w:val="12"/>
        </w:numPr>
        <w:ind w:left="360"/>
        <w:rPr>
          <w:sz w:val="24"/>
          <w:szCs w:val="24"/>
        </w:rPr>
      </w:pPr>
      <w:r w:rsidRPr="00015AAF">
        <w:rPr>
          <w:sz w:val="24"/>
          <w:szCs w:val="24"/>
        </w:rPr>
        <w:t xml:space="preserve">Centers for Disease Control and Prevention (2015). American Indian and Alaska Native Populations. Retrieved September 24, 2015 from </w:t>
      </w:r>
      <w:hyperlink r:id="rId10" w:history="1">
        <w:r w:rsidRPr="00015AAF">
          <w:rPr>
            <w:rStyle w:val="Hyperlink"/>
            <w:sz w:val="24"/>
            <w:szCs w:val="24"/>
          </w:rPr>
          <w:t>http://www.cdc.gov/minorityhealth/populations/REMP/aian.html</w:t>
        </w:r>
      </w:hyperlink>
      <w:r w:rsidRPr="00015AAF">
        <w:rPr>
          <w:sz w:val="24"/>
          <w:szCs w:val="24"/>
        </w:rPr>
        <w:t xml:space="preserve">. </w:t>
      </w:r>
    </w:p>
    <w:p w14:paraId="43FA5D1E" w14:textId="77777777" w:rsidR="00241DB4" w:rsidRDefault="00CE555B" w:rsidP="00241DB4">
      <w:pPr>
        <w:pStyle w:val="ListParagraph"/>
        <w:numPr>
          <w:ilvl w:val="0"/>
          <w:numId w:val="12"/>
        </w:numPr>
        <w:spacing w:after="0" w:line="240" w:lineRule="auto"/>
        <w:ind w:left="360"/>
        <w:rPr>
          <w:sz w:val="24"/>
          <w:szCs w:val="24"/>
        </w:rPr>
      </w:pPr>
      <w:r w:rsidRPr="006E46E6">
        <w:rPr>
          <w:sz w:val="24"/>
          <w:szCs w:val="24"/>
        </w:rPr>
        <w:t>American Indian Higher Education Consortium (2014). Tribal Co</w:t>
      </w:r>
      <w:r>
        <w:rPr>
          <w:sz w:val="24"/>
          <w:szCs w:val="24"/>
        </w:rPr>
        <w:t>lleges and Universities. Overview of AIHEC. PDF report.</w:t>
      </w:r>
      <w:r w:rsidR="00241DB4">
        <w:rPr>
          <w:sz w:val="24"/>
          <w:szCs w:val="24"/>
        </w:rPr>
        <w:t xml:space="preserve"> </w:t>
      </w:r>
    </w:p>
    <w:p w14:paraId="76D32508" w14:textId="77777777" w:rsidR="00241DB4" w:rsidRDefault="00241DB4" w:rsidP="00241DB4">
      <w:pPr>
        <w:pStyle w:val="ListParagraph"/>
        <w:numPr>
          <w:ilvl w:val="0"/>
          <w:numId w:val="12"/>
        </w:numPr>
        <w:spacing w:after="0" w:line="240" w:lineRule="auto"/>
        <w:ind w:left="360"/>
        <w:rPr>
          <w:sz w:val="24"/>
          <w:szCs w:val="24"/>
        </w:rPr>
      </w:pPr>
      <w:r w:rsidRPr="005B504F">
        <w:rPr>
          <w:sz w:val="24"/>
          <w:szCs w:val="24"/>
        </w:rPr>
        <w:t xml:space="preserve">National Center for Veteran Analysis and Statistics (2015). Profile of Post-9/11 Veterans: 2012. </w:t>
      </w:r>
      <w:r w:rsidR="0084126D">
        <w:rPr>
          <w:sz w:val="24"/>
          <w:szCs w:val="24"/>
        </w:rPr>
        <w:t>PDF report.</w:t>
      </w:r>
    </w:p>
    <w:p w14:paraId="1D409BA5" w14:textId="296C0993" w:rsidR="00CE555B" w:rsidRDefault="00241DB4" w:rsidP="00D83015">
      <w:pPr>
        <w:pStyle w:val="ListParagraph"/>
        <w:numPr>
          <w:ilvl w:val="0"/>
          <w:numId w:val="12"/>
        </w:numPr>
        <w:spacing w:after="0" w:line="240" w:lineRule="auto"/>
        <w:ind w:left="360"/>
        <w:rPr>
          <w:sz w:val="24"/>
          <w:szCs w:val="24"/>
        </w:rPr>
      </w:pPr>
      <w:r w:rsidRPr="00C34096">
        <w:rPr>
          <w:sz w:val="24"/>
          <w:szCs w:val="24"/>
        </w:rPr>
        <w:t xml:space="preserve">American RadioWorks (2015). Boots to Books Transcript. Retrieved </w:t>
      </w:r>
      <w:r w:rsidR="006E1560">
        <w:rPr>
          <w:sz w:val="24"/>
          <w:szCs w:val="24"/>
        </w:rPr>
        <w:t>February 9, 2018</w:t>
      </w:r>
      <w:r w:rsidRPr="00C34096">
        <w:rPr>
          <w:sz w:val="24"/>
          <w:szCs w:val="24"/>
        </w:rPr>
        <w:t xml:space="preserve"> from </w:t>
      </w:r>
      <w:r w:rsidR="006E1560" w:rsidRPr="00D83015">
        <w:rPr>
          <w:sz w:val="24"/>
          <w:szCs w:val="24"/>
        </w:rPr>
        <w:t>http://www.americanradioworks.org/documentaries/from-boots-to-books/</w:t>
      </w:r>
      <w:r>
        <w:rPr>
          <w:sz w:val="24"/>
          <w:szCs w:val="24"/>
        </w:rPr>
        <w:t>.</w:t>
      </w:r>
    </w:p>
    <w:p w14:paraId="529FC69B" w14:textId="33152DAC" w:rsidR="00564512" w:rsidRDefault="00473443" w:rsidP="00A81A8E">
      <w:pPr>
        <w:pStyle w:val="ListParagraph"/>
        <w:numPr>
          <w:ilvl w:val="0"/>
          <w:numId w:val="12"/>
        </w:numPr>
        <w:spacing w:after="0" w:line="240" w:lineRule="auto"/>
        <w:ind w:left="360"/>
        <w:rPr>
          <w:sz w:val="24"/>
          <w:szCs w:val="24"/>
        </w:rPr>
      </w:pPr>
      <w:r w:rsidRPr="00473443">
        <w:rPr>
          <w:sz w:val="24"/>
          <w:szCs w:val="24"/>
        </w:rPr>
        <w:t>Secretary’s Advisory Committee on Health Promotion and Disease Prevention Objectives for 2020. Healthy People 2020: An Opportunity to Address the Societal Determinants</w:t>
      </w:r>
      <w:r>
        <w:rPr>
          <w:sz w:val="24"/>
          <w:szCs w:val="24"/>
        </w:rPr>
        <w:t xml:space="preserve"> of Health in the United States. Retrieved October 5, 2015 from </w:t>
      </w:r>
      <w:hyperlink r:id="rId11" w:tgtFrame="_blank" w:history="1">
        <w:r w:rsidRPr="00473443">
          <w:rPr>
            <w:rStyle w:val="Hyperlink"/>
            <w:bCs/>
            <w:sz w:val="24"/>
            <w:szCs w:val="24"/>
          </w:rPr>
          <w:t>http://www.healthypeople.gov/2010/hp2020/advisory/SocietalDeterminantsHealth.htm</w:t>
        </w:r>
      </w:hyperlink>
      <w:r>
        <w:rPr>
          <w:sz w:val="24"/>
          <w:szCs w:val="24"/>
        </w:rPr>
        <w:t>.</w:t>
      </w:r>
    </w:p>
    <w:p w14:paraId="4E85F2F4" w14:textId="77777777" w:rsidR="00564512" w:rsidRDefault="00564512">
      <w:pPr>
        <w:spacing w:after="160" w:line="259" w:lineRule="auto"/>
        <w:rPr>
          <w:sz w:val="24"/>
          <w:szCs w:val="24"/>
        </w:rPr>
      </w:pPr>
      <w:r>
        <w:rPr>
          <w:sz w:val="24"/>
          <w:szCs w:val="24"/>
        </w:rPr>
        <w:br w:type="page"/>
      </w:r>
    </w:p>
    <w:p w14:paraId="79DC6E20" w14:textId="77777777" w:rsidR="006C4240" w:rsidRDefault="004B4192" w:rsidP="006C4240">
      <w:pPr>
        <w:rPr>
          <w:rStyle w:val="Heading1Char"/>
        </w:rPr>
      </w:pPr>
      <w:r w:rsidRPr="005934C7">
        <w:rPr>
          <w:rStyle w:val="Heading1Char"/>
        </w:rPr>
        <w:lastRenderedPageBreak/>
        <w:t>Appendix A. Maps</w:t>
      </w:r>
    </w:p>
    <w:p w14:paraId="0D13D7F3" w14:textId="322A0A21" w:rsidR="00FC0917" w:rsidRDefault="006C4240" w:rsidP="006C4240">
      <w:pPr>
        <w:rPr>
          <w:rStyle w:val="Heading1Char"/>
        </w:rPr>
      </w:pPr>
      <w:r>
        <w:rPr>
          <w:rStyle w:val="Heading2Char"/>
        </w:rPr>
        <w:t xml:space="preserve">(Top) </w:t>
      </w:r>
      <w:r w:rsidR="00E90694" w:rsidRPr="00E90694">
        <w:rPr>
          <w:rStyle w:val="Heading2Char"/>
        </w:rPr>
        <w:t>TCUs</w:t>
      </w:r>
      <w:r>
        <w:rPr>
          <w:rStyle w:val="Heading2Char"/>
        </w:rPr>
        <w:t xml:space="preserve"> </w:t>
      </w:r>
      <w:r w:rsidR="00E90694" w:rsidRPr="00E90694">
        <w:rPr>
          <w:rStyle w:val="Heading2Char"/>
        </w:rPr>
        <w:t>and</w:t>
      </w:r>
      <w:r w:rsidR="00AF4163" w:rsidRPr="00E90694">
        <w:rPr>
          <w:rStyle w:val="Heading2Char"/>
        </w:rPr>
        <w:t xml:space="preserve"> </w:t>
      </w:r>
      <w:r>
        <w:rPr>
          <w:rStyle w:val="Heading2Char"/>
        </w:rPr>
        <w:t xml:space="preserve">(Bottom) </w:t>
      </w:r>
      <w:r w:rsidR="004B4192" w:rsidRPr="00E90694">
        <w:rPr>
          <w:rStyle w:val="Heading2Char"/>
        </w:rPr>
        <w:t>Veteran Service Integrated Network</w:t>
      </w:r>
      <w:r w:rsidR="00CE474B" w:rsidRPr="00E90694">
        <w:rPr>
          <w:rStyle w:val="Heading2Char"/>
        </w:rPr>
        <w:t>s</w:t>
      </w:r>
      <w:r w:rsidR="00E90694" w:rsidRPr="00E90694">
        <w:rPr>
          <w:rStyle w:val="Heading2Char"/>
        </w:rPr>
        <w:t xml:space="preserve"> (VISNs) in 2018</w:t>
      </w:r>
      <w:r w:rsidR="004B4192" w:rsidRPr="005934C7">
        <w:rPr>
          <w:rStyle w:val="Heading1Char"/>
        </w:rPr>
        <w:t xml:space="preserve"> </w:t>
      </w:r>
    </w:p>
    <w:p w14:paraId="5484203C" w14:textId="209950EB" w:rsidR="00E90694" w:rsidRDefault="00E90694" w:rsidP="00401E45">
      <w:pPr>
        <w:jc w:val="center"/>
        <w:rPr>
          <w:sz w:val="24"/>
          <w:szCs w:val="24"/>
        </w:rPr>
      </w:pPr>
      <w:r>
        <w:rPr>
          <w:noProof/>
          <w:sz w:val="24"/>
          <w:szCs w:val="24"/>
        </w:rPr>
        <w:drawing>
          <wp:inline distT="0" distB="0" distL="0" distR="0" wp14:anchorId="34C20664" wp14:editId="174A9425">
            <wp:extent cx="4825270" cy="3682363"/>
            <wp:effectExtent l="0" t="0" r="0" b="0"/>
            <wp:docPr id="9" name="Picture 9" descr="This map from the American Indian Higher Education Consortium shows the 36 Tribal Colleges and Universities located around the U.S. in 2018. An interactive map can be found on their website: http://www.aihec.org/who-we-serve/TCUmap.cfm" title="Map of Tribal Colleges and Universities i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1CB96B.tmp"/>
                    <pic:cNvPicPr/>
                  </pic:nvPicPr>
                  <pic:blipFill>
                    <a:blip r:embed="rId12">
                      <a:extLst>
                        <a:ext uri="{28A0092B-C50C-407E-A947-70E740481C1C}">
                          <a14:useLocalDpi xmlns:a14="http://schemas.microsoft.com/office/drawing/2010/main" val="0"/>
                        </a:ext>
                      </a:extLst>
                    </a:blip>
                    <a:stretch>
                      <a:fillRect/>
                    </a:stretch>
                  </pic:blipFill>
                  <pic:spPr>
                    <a:xfrm>
                      <a:off x="0" y="0"/>
                      <a:ext cx="4887045" cy="3729506"/>
                    </a:xfrm>
                    <a:prstGeom prst="rect">
                      <a:avLst/>
                    </a:prstGeom>
                  </pic:spPr>
                </pic:pic>
              </a:graphicData>
            </a:graphic>
          </wp:inline>
        </w:drawing>
      </w:r>
    </w:p>
    <w:p w14:paraId="76308755" w14:textId="77777777" w:rsidR="00E90694" w:rsidRDefault="00E90694" w:rsidP="00401E45">
      <w:pPr>
        <w:jc w:val="center"/>
        <w:rPr>
          <w:sz w:val="24"/>
          <w:szCs w:val="24"/>
        </w:rPr>
      </w:pPr>
    </w:p>
    <w:p w14:paraId="250384BA" w14:textId="3C7B7870" w:rsidR="004B4192" w:rsidRPr="00E10BF1" w:rsidRDefault="006C4240" w:rsidP="00401E45">
      <w:pPr>
        <w:jc w:val="center"/>
        <w:rPr>
          <w:color w:val="FF0000"/>
          <w:sz w:val="24"/>
          <w:szCs w:val="24"/>
        </w:rPr>
      </w:pPr>
      <w:r>
        <w:rPr>
          <w:noProof/>
          <w:color w:val="FF0000"/>
          <w:sz w:val="24"/>
          <w:szCs w:val="24"/>
        </w:rPr>
        <w:drawing>
          <wp:inline distT="0" distB="0" distL="0" distR="0" wp14:anchorId="67C828B1" wp14:editId="098B7127">
            <wp:extent cx="5899150" cy="3260289"/>
            <wp:effectExtent l="0" t="0" r="6350" b="0"/>
            <wp:docPr id="11" name="Picture 11" descr="As of January 2018, the U.S. and its territories are divided into 22 Veterans Integrated Service Networks (VISNs). Each network is responsible for meeting the health care needs of Veterans in its region. An interactive map of VISNs can be found at https://www.va.gov/directory/guide/division.asp?dnum=1" title="Map of Veterans Health Administration's Veterans Integrated Service Networks (VISNs) i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1CDF2.tmp"/>
                    <pic:cNvPicPr/>
                  </pic:nvPicPr>
                  <pic:blipFill>
                    <a:blip r:embed="rId13">
                      <a:extLst>
                        <a:ext uri="{28A0092B-C50C-407E-A947-70E740481C1C}">
                          <a14:useLocalDpi xmlns:a14="http://schemas.microsoft.com/office/drawing/2010/main" val="0"/>
                        </a:ext>
                      </a:extLst>
                    </a:blip>
                    <a:stretch>
                      <a:fillRect/>
                    </a:stretch>
                  </pic:blipFill>
                  <pic:spPr>
                    <a:xfrm>
                      <a:off x="0" y="0"/>
                      <a:ext cx="5907819" cy="3265080"/>
                    </a:xfrm>
                    <a:prstGeom prst="rect">
                      <a:avLst/>
                    </a:prstGeom>
                  </pic:spPr>
                </pic:pic>
              </a:graphicData>
            </a:graphic>
          </wp:inline>
        </w:drawing>
      </w:r>
    </w:p>
    <w:p w14:paraId="269A7D94" w14:textId="5CFE4A67" w:rsidR="00AF4163" w:rsidRPr="0084126D" w:rsidRDefault="00AF4163" w:rsidP="005934C7">
      <w:pPr>
        <w:pStyle w:val="Heading1"/>
      </w:pPr>
      <w:r w:rsidRPr="0084126D">
        <w:lastRenderedPageBreak/>
        <w:t xml:space="preserve">Appendix B: </w:t>
      </w:r>
      <w:r w:rsidR="00D23427">
        <w:t>Additional R</w:t>
      </w:r>
      <w:r w:rsidR="003D01DA" w:rsidRPr="0084126D">
        <w:t>esources</w:t>
      </w:r>
    </w:p>
    <w:p w14:paraId="0FD06C90" w14:textId="57E569DF" w:rsidR="007D5D4B" w:rsidRDefault="003E024D" w:rsidP="006461C5">
      <w:pPr>
        <w:pStyle w:val="ListParagraph"/>
        <w:numPr>
          <w:ilvl w:val="0"/>
          <w:numId w:val="23"/>
        </w:numPr>
        <w:spacing w:line="240" w:lineRule="auto"/>
        <w:rPr>
          <w:sz w:val="24"/>
          <w:szCs w:val="24"/>
        </w:rPr>
      </w:pPr>
      <w:hyperlink r:id="rId14" w:history="1">
        <w:r w:rsidR="007D5D4B" w:rsidRPr="00564512">
          <w:rPr>
            <w:rStyle w:val="Hyperlink"/>
            <w:sz w:val="24"/>
            <w:szCs w:val="24"/>
          </w:rPr>
          <w:t>American Indian College Fund Homepage</w:t>
        </w:r>
      </w:hyperlink>
      <w:r w:rsidR="007D5D4B">
        <w:rPr>
          <w:sz w:val="24"/>
          <w:szCs w:val="24"/>
        </w:rPr>
        <w:t xml:space="preserve"> </w:t>
      </w:r>
    </w:p>
    <w:p w14:paraId="49E182F7" w14:textId="77777777" w:rsidR="007D5D4B" w:rsidRPr="007D5D4B" w:rsidRDefault="007D5D4B" w:rsidP="006461C5">
      <w:pPr>
        <w:pStyle w:val="ListParagraph"/>
        <w:spacing w:line="240" w:lineRule="auto"/>
        <w:rPr>
          <w:sz w:val="24"/>
          <w:szCs w:val="24"/>
        </w:rPr>
      </w:pPr>
    </w:p>
    <w:p w14:paraId="6B6A0F7A" w14:textId="4EC67838" w:rsidR="00E14CCC" w:rsidRPr="00C24574" w:rsidRDefault="003E024D" w:rsidP="006461C5">
      <w:pPr>
        <w:pStyle w:val="ListParagraph"/>
        <w:numPr>
          <w:ilvl w:val="0"/>
          <w:numId w:val="23"/>
        </w:numPr>
        <w:spacing w:line="240" w:lineRule="auto"/>
        <w:rPr>
          <w:sz w:val="24"/>
          <w:szCs w:val="24"/>
        </w:rPr>
      </w:pPr>
      <w:hyperlink r:id="rId15" w:history="1">
        <w:r w:rsidR="00E14CCC" w:rsidRPr="00564512">
          <w:rPr>
            <w:rStyle w:val="Hyperlink"/>
            <w:sz w:val="24"/>
            <w:szCs w:val="24"/>
          </w:rPr>
          <w:t xml:space="preserve">American Indian College Fund </w:t>
        </w:r>
        <w:r w:rsidR="00564512" w:rsidRPr="00564512">
          <w:rPr>
            <w:rStyle w:val="Hyperlink"/>
            <w:sz w:val="24"/>
            <w:szCs w:val="24"/>
          </w:rPr>
          <w:t>201</w:t>
        </w:r>
        <w:r w:rsidR="00353EC2">
          <w:rPr>
            <w:rStyle w:val="Hyperlink"/>
            <w:sz w:val="24"/>
            <w:szCs w:val="24"/>
          </w:rPr>
          <w:t>6</w:t>
        </w:r>
        <w:r w:rsidR="00564512" w:rsidRPr="00564512">
          <w:rPr>
            <w:rStyle w:val="Hyperlink"/>
            <w:sz w:val="24"/>
            <w:szCs w:val="24"/>
          </w:rPr>
          <w:t>-201</w:t>
        </w:r>
        <w:r w:rsidR="00353EC2">
          <w:rPr>
            <w:rStyle w:val="Hyperlink"/>
            <w:sz w:val="24"/>
            <w:szCs w:val="24"/>
          </w:rPr>
          <w:t>7</w:t>
        </w:r>
        <w:r w:rsidR="00564512" w:rsidRPr="00564512">
          <w:rPr>
            <w:rStyle w:val="Hyperlink"/>
            <w:sz w:val="24"/>
            <w:szCs w:val="24"/>
          </w:rPr>
          <w:t xml:space="preserve"> Annual Report</w:t>
        </w:r>
      </w:hyperlink>
    </w:p>
    <w:p w14:paraId="5EE09BAD" w14:textId="77777777" w:rsidR="00E14CCC" w:rsidRPr="00E14CCC" w:rsidRDefault="00E14CCC" w:rsidP="006461C5">
      <w:pPr>
        <w:pStyle w:val="ListParagraph"/>
        <w:spacing w:line="240" w:lineRule="auto"/>
        <w:rPr>
          <w:color w:val="FF0000"/>
          <w:u w:val="single"/>
        </w:rPr>
      </w:pPr>
    </w:p>
    <w:p w14:paraId="7C7DF565" w14:textId="77777777" w:rsidR="00F054B8" w:rsidRPr="00F054B8" w:rsidRDefault="003E024D" w:rsidP="00F054B8">
      <w:pPr>
        <w:pStyle w:val="ListParagraph"/>
        <w:numPr>
          <w:ilvl w:val="0"/>
          <w:numId w:val="23"/>
        </w:numPr>
        <w:spacing w:line="240" w:lineRule="auto"/>
        <w:rPr>
          <w:rStyle w:val="Hyperlink"/>
          <w:color w:val="FF0000"/>
          <w:sz w:val="24"/>
          <w:szCs w:val="24"/>
        </w:rPr>
      </w:pPr>
      <w:hyperlink r:id="rId16" w:history="1">
        <w:r w:rsidR="007D5D4B" w:rsidRPr="00564512">
          <w:rPr>
            <w:rStyle w:val="Hyperlink"/>
            <w:sz w:val="24"/>
            <w:szCs w:val="24"/>
          </w:rPr>
          <w:t>American Indian Higher Education Consortium Homepage</w:t>
        </w:r>
      </w:hyperlink>
    </w:p>
    <w:p w14:paraId="2950D8E8" w14:textId="77777777" w:rsidR="00F054B8" w:rsidRPr="00F054B8" w:rsidRDefault="00F054B8" w:rsidP="00F054B8">
      <w:pPr>
        <w:pStyle w:val="ListParagraph"/>
        <w:spacing w:line="240" w:lineRule="auto"/>
        <w:rPr>
          <w:rStyle w:val="Hyperlink"/>
          <w:color w:val="FF0000"/>
          <w:sz w:val="24"/>
          <w:szCs w:val="24"/>
        </w:rPr>
      </w:pPr>
    </w:p>
    <w:p w14:paraId="7D5F42D2" w14:textId="073C247F" w:rsidR="00E14CCC" w:rsidRPr="00F054B8" w:rsidRDefault="003E024D" w:rsidP="00F054B8">
      <w:pPr>
        <w:pStyle w:val="ListParagraph"/>
        <w:numPr>
          <w:ilvl w:val="0"/>
          <w:numId w:val="23"/>
        </w:numPr>
        <w:spacing w:line="240" w:lineRule="auto"/>
        <w:rPr>
          <w:color w:val="FF0000"/>
          <w:sz w:val="24"/>
          <w:szCs w:val="24"/>
          <w:u w:val="single"/>
        </w:rPr>
      </w:pPr>
      <w:hyperlink r:id="rId17" w:history="1">
        <w:r w:rsidR="00E14CCC" w:rsidRPr="00F054B8">
          <w:rPr>
            <w:rStyle w:val="Hyperlink"/>
            <w:sz w:val="24"/>
            <w:szCs w:val="24"/>
          </w:rPr>
          <w:t>American Indian Higher Education Consortium (20</w:t>
        </w:r>
        <w:r w:rsidR="00564512" w:rsidRPr="00F054B8">
          <w:rPr>
            <w:rStyle w:val="Hyperlink"/>
            <w:sz w:val="24"/>
            <w:szCs w:val="24"/>
          </w:rPr>
          <w:t>09). 2007 AIHEC AIMS Fact Book</w:t>
        </w:r>
      </w:hyperlink>
    </w:p>
    <w:p w14:paraId="4A9365AE" w14:textId="77777777" w:rsidR="00E14CCC" w:rsidRPr="00E14CCC" w:rsidRDefault="00E14CCC" w:rsidP="006461C5">
      <w:pPr>
        <w:pStyle w:val="ListParagraph"/>
        <w:rPr>
          <w:sz w:val="24"/>
          <w:szCs w:val="24"/>
        </w:rPr>
      </w:pPr>
    </w:p>
    <w:p w14:paraId="13B09390" w14:textId="2CDCD9FF" w:rsidR="00B40DE1" w:rsidRPr="00B40DE1" w:rsidRDefault="003E024D" w:rsidP="006461C5">
      <w:pPr>
        <w:pStyle w:val="ListParagraph"/>
        <w:numPr>
          <w:ilvl w:val="0"/>
          <w:numId w:val="23"/>
        </w:numPr>
        <w:spacing w:line="240" w:lineRule="auto"/>
        <w:rPr>
          <w:rStyle w:val="Hyperlink"/>
          <w:color w:val="FF0000"/>
        </w:rPr>
      </w:pPr>
      <w:hyperlink r:id="rId18" w:history="1">
        <w:r w:rsidR="003D01DA" w:rsidRPr="00564512">
          <w:rPr>
            <w:rStyle w:val="Hyperlink"/>
            <w:sz w:val="24"/>
            <w:szCs w:val="24"/>
          </w:rPr>
          <w:t>American Indian Higher Education Consortium (2012).</w:t>
        </w:r>
        <w:r w:rsidR="00564512" w:rsidRPr="00564512">
          <w:rPr>
            <w:rStyle w:val="Hyperlink"/>
            <w:sz w:val="24"/>
            <w:szCs w:val="24"/>
          </w:rPr>
          <w:t xml:space="preserve"> 2009-2010 AIHEC AIMS Fact Book</w:t>
        </w:r>
      </w:hyperlink>
    </w:p>
    <w:p w14:paraId="7819BC7F" w14:textId="77777777" w:rsidR="00B40DE1" w:rsidRPr="00B40DE1" w:rsidRDefault="00B40DE1" w:rsidP="006461C5">
      <w:pPr>
        <w:pStyle w:val="ListParagraph"/>
        <w:rPr>
          <w:color w:val="FF0000"/>
          <w:u w:val="single"/>
        </w:rPr>
      </w:pPr>
    </w:p>
    <w:p w14:paraId="7A1C85BF" w14:textId="77777777" w:rsidR="00F054B8" w:rsidRPr="00F054B8" w:rsidRDefault="003E024D" w:rsidP="00F054B8">
      <w:pPr>
        <w:pStyle w:val="ListParagraph"/>
        <w:numPr>
          <w:ilvl w:val="0"/>
          <w:numId w:val="23"/>
        </w:numPr>
        <w:spacing w:line="240" w:lineRule="auto"/>
        <w:rPr>
          <w:color w:val="FF0000"/>
          <w:u w:val="single"/>
        </w:rPr>
      </w:pPr>
      <w:hyperlink r:id="rId19" w:history="1">
        <w:r w:rsidR="00C24157" w:rsidRPr="00564512">
          <w:rPr>
            <w:rStyle w:val="Hyperlink"/>
            <w:sz w:val="24"/>
            <w:szCs w:val="24"/>
          </w:rPr>
          <w:t>Podcast</w:t>
        </w:r>
      </w:hyperlink>
      <w:r w:rsidR="00C24157">
        <w:rPr>
          <w:sz w:val="24"/>
          <w:szCs w:val="24"/>
        </w:rPr>
        <w:t xml:space="preserve"> and </w:t>
      </w:r>
      <w:hyperlink r:id="rId20" w:history="1">
        <w:r w:rsidR="00C24157" w:rsidRPr="00C24157">
          <w:rPr>
            <w:rStyle w:val="Hyperlink"/>
            <w:sz w:val="24"/>
            <w:szCs w:val="24"/>
          </w:rPr>
          <w:t xml:space="preserve">transcript of </w:t>
        </w:r>
        <w:r w:rsidR="00B40DE1" w:rsidRPr="00C24157">
          <w:rPr>
            <w:rStyle w:val="Hyperlink"/>
            <w:sz w:val="24"/>
            <w:szCs w:val="24"/>
          </w:rPr>
          <w:t>American RadioWorks (2015). From Boots to Books.</w:t>
        </w:r>
      </w:hyperlink>
    </w:p>
    <w:p w14:paraId="03E21F2A" w14:textId="77777777" w:rsidR="00F054B8" w:rsidRPr="00F054B8" w:rsidRDefault="00F054B8" w:rsidP="00F054B8">
      <w:pPr>
        <w:pStyle w:val="ListParagraph"/>
        <w:spacing w:line="240" w:lineRule="auto"/>
        <w:rPr>
          <w:color w:val="FF0000"/>
          <w:u w:val="single"/>
        </w:rPr>
      </w:pPr>
    </w:p>
    <w:p w14:paraId="2349AA86" w14:textId="3F763351" w:rsidR="0084126D" w:rsidRPr="00F054B8" w:rsidRDefault="003E024D" w:rsidP="00F054B8">
      <w:pPr>
        <w:pStyle w:val="ListParagraph"/>
        <w:numPr>
          <w:ilvl w:val="0"/>
          <w:numId w:val="23"/>
        </w:numPr>
        <w:spacing w:line="240" w:lineRule="auto"/>
        <w:rPr>
          <w:color w:val="FF0000"/>
          <w:u w:val="single"/>
        </w:rPr>
      </w:pPr>
      <w:hyperlink r:id="rId21" w:history="1">
        <w:r w:rsidR="00D83015">
          <w:rPr>
            <w:rStyle w:val="Hyperlink"/>
            <w:sz w:val="24"/>
            <w:szCs w:val="24"/>
          </w:rPr>
          <w:t>National Center for Veteran Analysis and Statistics (2015). Profile of Post-9/11 Veterans: 2012</w:t>
        </w:r>
      </w:hyperlink>
    </w:p>
    <w:p w14:paraId="5C1FA607" w14:textId="77777777" w:rsidR="00C24574" w:rsidRPr="00C24574" w:rsidRDefault="00C24574" w:rsidP="006461C5">
      <w:pPr>
        <w:spacing w:after="0" w:line="240" w:lineRule="auto"/>
        <w:rPr>
          <w:sz w:val="24"/>
          <w:szCs w:val="24"/>
        </w:rPr>
      </w:pPr>
    </w:p>
    <w:p w14:paraId="4177C3B5" w14:textId="606FE85E" w:rsidR="00564512" w:rsidRDefault="00353EC2" w:rsidP="006461C5">
      <w:pPr>
        <w:pStyle w:val="ListParagraph"/>
        <w:numPr>
          <w:ilvl w:val="0"/>
          <w:numId w:val="23"/>
        </w:numPr>
        <w:spacing w:line="240" w:lineRule="auto"/>
        <w:rPr>
          <w:sz w:val="24"/>
          <w:szCs w:val="24"/>
        </w:rPr>
      </w:pPr>
      <w:r>
        <w:rPr>
          <w:sz w:val="24"/>
          <w:szCs w:val="24"/>
        </w:rPr>
        <w:t>Relevant b</w:t>
      </w:r>
      <w:r w:rsidR="00564512">
        <w:rPr>
          <w:sz w:val="24"/>
          <w:szCs w:val="24"/>
        </w:rPr>
        <w:t>enefits</w:t>
      </w:r>
      <w:r>
        <w:rPr>
          <w:sz w:val="24"/>
          <w:szCs w:val="24"/>
        </w:rPr>
        <w:t xml:space="preserve"> and guidance from</w:t>
      </w:r>
      <w:r w:rsidR="00564512">
        <w:rPr>
          <w:sz w:val="24"/>
          <w:szCs w:val="24"/>
        </w:rPr>
        <w:t xml:space="preserve"> the </w:t>
      </w:r>
      <w:r w:rsidR="001E41F8">
        <w:rPr>
          <w:sz w:val="24"/>
          <w:szCs w:val="24"/>
        </w:rPr>
        <w:t>U.S. Depart</w:t>
      </w:r>
      <w:r w:rsidR="00564512">
        <w:rPr>
          <w:sz w:val="24"/>
          <w:szCs w:val="24"/>
        </w:rPr>
        <w:t>ment of Veterans Affairs:</w:t>
      </w:r>
    </w:p>
    <w:p w14:paraId="242A8F62" w14:textId="35847591" w:rsidR="00564512" w:rsidRDefault="003E024D" w:rsidP="00564512">
      <w:pPr>
        <w:pStyle w:val="ListParagraph"/>
        <w:numPr>
          <w:ilvl w:val="0"/>
          <w:numId w:val="33"/>
        </w:numPr>
        <w:spacing w:line="240" w:lineRule="auto"/>
        <w:rPr>
          <w:sz w:val="24"/>
          <w:szCs w:val="24"/>
        </w:rPr>
      </w:pPr>
      <w:hyperlink r:id="rId22" w:history="1">
        <w:r w:rsidR="001E41F8" w:rsidRPr="00564512">
          <w:rPr>
            <w:rStyle w:val="Hyperlink"/>
            <w:sz w:val="24"/>
            <w:szCs w:val="24"/>
          </w:rPr>
          <w:t>Education and Training</w:t>
        </w:r>
        <w:r w:rsidR="00564512" w:rsidRPr="00564512">
          <w:rPr>
            <w:rStyle w:val="Hyperlink"/>
            <w:sz w:val="24"/>
            <w:szCs w:val="24"/>
          </w:rPr>
          <w:t xml:space="preserve"> Opportunities</w:t>
        </w:r>
      </w:hyperlink>
    </w:p>
    <w:p w14:paraId="4355CF76" w14:textId="0CA3E678" w:rsidR="00564512" w:rsidRDefault="003E024D" w:rsidP="00564512">
      <w:pPr>
        <w:pStyle w:val="ListParagraph"/>
        <w:numPr>
          <w:ilvl w:val="0"/>
          <w:numId w:val="33"/>
        </w:numPr>
        <w:spacing w:line="240" w:lineRule="auto"/>
        <w:rPr>
          <w:sz w:val="24"/>
          <w:szCs w:val="24"/>
        </w:rPr>
      </w:pPr>
      <w:hyperlink r:id="rId23" w:history="1">
        <w:r w:rsidR="00564512" w:rsidRPr="00564512">
          <w:rPr>
            <w:rStyle w:val="Hyperlink"/>
            <w:sz w:val="24"/>
            <w:szCs w:val="24"/>
          </w:rPr>
          <w:t>Education Programs</w:t>
        </w:r>
      </w:hyperlink>
    </w:p>
    <w:p w14:paraId="0DC16D9C" w14:textId="7BF5C0DE" w:rsidR="006A03AD" w:rsidRDefault="003E024D" w:rsidP="00564512">
      <w:pPr>
        <w:pStyle w:val="ListParagraph"/>
        <w:numPr>
          <w:ilvl w:val="0"/>
          <w:numId w:val="33"/>
        </w:numPr>
        <w:spacing w:line="240" w:lineRule="auto"/>
        <w:rPr>
          <w:sz w:val="24"/>
          <w:szCs w:val="24"/>
        </w:rPr>
      </w:pPr>
      <w:hyperlink r:id="rId24" w:history="1">
        <w:r w:rsidR="00564512" w:rsidRPr="00564512">
          <w:rPr>
            <w:rStyle w:val="Hyperlink"/>
            <w:sz w:val="24"/>
            <w:szCs w:val="24"/>
          </w:rPr>
          <w:t>Applying for Benefits</w:t>
        </w:r>
      </w:hyperlink>
    </w:p>
    <w:p w14:paraId="11281919" w14:textId="77777777" w:rsidR="00353EC2" w:rsidRPr="006A03AD" w:rsidRDefault="00353EC2" w:rsidP="00353EC2">
      <w:pPr>
        <w:pStyle w:val="ListParagraph"/>
        <w:spacing w:line="240" w:lineRule="auto"/>
        <w:ind w:left="1440"/>
        <w:rPr>
          <w:sz w:val="24"/>
          <w:szCs w:val="24"/>
        </w:rPr>
      </w:pPr>
    </w:p>
    <w:p w14:paraId="5096B9CF" w14:textId="705680DD" w:rsidR="006A03AD" w:rsidRDefault="003E024D" w:rsidP="006461C5">
      <w:pPr>
        <w:pStyle w:val="ListParagraph"/>
        <w:numPr>
          <w:ilvl w:val="0"/>
          <w:numId w:val="23"/>
        </w:numPr>
        <w:spacing w:line="240" w:lineRule="auto"/>
        <w:rPr>
          <w:sz w:val="24"/>
          <w:szCs w:val="24"/>
        </w:rPr>
      </w:pPr>
      <w:hyperlink r:id="rId25" w:history="1">
        <w:r w:rsidR="006A03AD" w:rsidRPr="00564512">
          <w:rPr>
            <w:rStyle w:val="Hyperlink"/>
            <w:sz w:val="24"/>
            <w:szCs w:val="24"/>
          </w:rPr>
          <w:t>U.S. Department of Veteran Affairs 2015 Veter</w:t>
        </w:r>
        <w:r w:rsidR="00564512" w:rsidRPr="00564512">
          <w:rPr>
            <w:rStyle w:val="Hyperlink"/>
            <w:sz w:val="24"/>
            <w:szCs w:val="24"/>
          </w:rPr>
          <w:t>an Economic Opportunity Report</w:t>
        </w:r>
      </w:hyperlink>
    </w:p>
    <w:p w14:paraId="4163269F" w14:textId="77777777" w:rsidR="004D57DD" w:rsidRPr="004D57DD" w:rsidRDefault="004D57DD" w:rsidP="006461C5">
      <w:pPr>
        <w:pStyle w:val="ListParagraph"/>
        <w:rPr>
          <w:sz w:val="24"/>
          <w:szCs w:val="24"/>
        </w:rPr>
      </w:pPr>
    </w:p>
    <w:p w14:paraId="13CD753C" w14:textId="4B19505B" w:rsidR="004D57DD" w:rsidRDefault="003E024D" w:rsidP="006461C5">
      <w:pPr>
        <w:pStyle w:val="ListParagraph"/>
        <w:numPr>
          <w:ilvl w:val="0"/>
          <w:numId w:val="23"/>
        </w:numPr>
        <w:spacing w:line="240" w:lineRule="auto"/>
        <w:rPr>
          <w:sz w:val="24"/>
          <w:szCs w:val="24"/>
        </w:rPr>
      </w:pPr>
      <w:hyperlink r:id="rId26" w:history="1">
        <w:r w:rsidR="004D57DD" w:rsidRPr="00564512">
          <w:rPr>
            <w:rStyle w:val="Hyperlink"/>
            <w:sz w:val="24"/>
            <w:szCs w:val="24"/>
          </w:rPr>
          <w:t>VA Campus Toolk</w:t>
        </w:r>
        <w:r w:rsidR="006461C5" w:rsidRPr="00564512">
          <w:rPr>
            <w:rStyle w:val="Hyperlink"/>
            <w:sz w:val="24"/>
            <w:szCs w:val="24"/>
          </w:rPr>
          <w:t>it: Additional Online Resources</w:t>
        </w:r>
      </w:hyperlink>
      <w:r w:rsidR="006461C5">
        <w:rPr>
          <w:sz w:val="24"/>
          <w:szCs w:val="24"/>
        </w:rPr>
        <w:t xml:space="preserve"> </w:t>
      </w:r>
    </w:p>
    <w:p w14:paraId="4C173F9C" w14:textId="77777777" w:rsidR="003C1C4A" w:rsidRPr="003C1C4A" w:rsidRDefault="003C1C4A" w:rsidP="003C1C4A">
      <w:pPr>
        <w:pStyle w:val="ListParagraph"/>
        <w:rPr>
          <w:sz w:val="24"/>
          <w:szCs w:val="24"/>
        </w:rPr>
      </w:pPr>
    </w:p>
    <w:sectPr w:rsidR="003C1C4A" w:rsidRPr="003C1C4A" w:rsidSect="00B604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ADEE9" w14:textId="77777777" w:rsidR="00242324" w:rsidRDefault="00242324" w:rsidP="00DE4E0B">
      <w:pPr>
        <w:spacing w:after="0" w:line="240" w:lineRule="auto"/>
      </w:pPr>
      <w:r>
        <w:separator/>
      </w:r>
    </w:p>
  </w:endnote>
  <w:endnote w:type="continuationSeparator" w:id="0">
    <w:p w14:paraId="6E7AA9AE" w14:textId="77777777" w:rsidR="00242324" w:rsidRDefault="00242324" w:rsidP="00DE4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779971"/>
      <w:docPartObj>
        <w:docPartGallery w:val="Page Numbers (Bottom of Page)"/>
        <w:docPartUnique/>
      </w:docPartObj>
    </w:sdtPr>
    <w:sdtEndPr>
      <w:rPr>
        <w:noProof/>
      </w:rPr>
    </w:sdtEndPr>
    <w:sdtContent>
      <w:p w14:paraId="421C896B" w14:textId="6BAE37A7" w:rsidR="007D6E09" w:rsidRDefault="007D6E09">
        <w:pPr>
          <w:pStyle w:val="Footer"/>
          <w:jc w:val="right"/>
        </w:pPr>
        <w:r>
          <w:fldChar w:fldCharType="begin"/>
        </w:r>
        <w:r>
          <w:instrText xml:space="preserve"> PAGE   \* MERGEFORMAT </w:instrText>
        </w:r>
        <w:r>
          <w:fldChar w:fldCharType="separate"/>
        </w:r>
        <w:r w:rsidR="003E024D">
          <w:rPr>
            <w:noProof/>
          </w:rPr>
          <w:t>5</w:t>
        </w:r>
        <w:r>
          <w:rPr>
            <w:noProof/>
          </w:rPr>
          <w:fldChar w:fldCharType="end"/>
        </w:r>
      </w:p>
    </w:sdtContent>
  </w:sdt>
  <w:p w14:paraId="5BD09414" w14:textId="77777777" w:rsidR="00DE4E0B" w:rsidRDefault="00DE4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98C8F" w14:textId="77777777" w:rsidR="00242324" w:rsidRDefault="00242324" w:rsidP="00DE4E0B">
      <w:pPr>
        <w:spacing w:after="0" w:line="240" w:lineRule="auto"/>
      </w:pPr>
      <w:r>
        <w:separator/>
      </w:r>
    </w:p>
  </w:footnote>
  <w:footnote w:type="continuationSeparator" w:id="0">
    <w:p w14:paraId="6343623A" w14:textId="77777777" w:rsidR="00242324" w:rsidRDefault="00242324" w:rsidP="00DE4E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2784"/>
    <w:multiLevelType w:val="hybridMultilevel"/>
    <w:tmpl w:val="4086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8157F"/>
    <w:multiLevelType w:val="hybridMultilevel"/>
    <w:tmpl w:val="A27C1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970F3"/>
    <w:multiLevelType w:val="hybridMultilevel"/>
    <w:tmpl w:val="EB107B9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A450028"/>
    <w:multiLevelType w:val="hybridMultilevel"/>
    <w:tmpl w:val="6CDC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502CC"/>
    <w:multiLevelType w:val="hybridMultilevel"/>
    <w:tmpl w:val="E96E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934AC"/>
    <w:multiLevelType w:val="hybridMultilevel"/>
    <w:tmpl w:val="D9FC3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FA1AF5"/>
    <w:multiLevelType w:val="hybridMultilevel"/>
    <w:tmpl w:val="D054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D2C33"/>
    <w:multiLevelType w:val="hybridMultilevel"/>
    <w:tmpl w:val="C86C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30C11"/>
    <w:multiLevelType w:val="hybridMultilevel"/>
    <w:tmpl w:val="1516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779D9"/>
    <w:multiLevelType w:val="hybridMultilevel"/>
    <w:tmpl w:val="823E1F24"/>
    <w:lvl w:ilvl="0" w:tplc="F3E07F2C">
      <w:start w:val="1"/>
      <w:numFmt w:val="bullet"/>
      <w:lvlText w:val=""/>
      <w:lvlJc w:val="left"/>
      <w:pPr>
        <w:ind w:left="1375" w:hanging="360"/>
      </w:pPr>
      <w:rPr>
        <w:rFonts w:ascii="Wingdings" w:hAnsi="Wingdings" w:hint="default"/>
        <w:color w:val="auto"/>
      </w:rPr>
    </w:lvl>
    <w:lvl w:ilvl="1" w:tplc="04090003" w:tentative="1">
      <w:start w:val="1"/>
      <w:numFmt w:val="bullet"/>
      <w:lvlText w:val="o"/>
      <w:lvlJc w:val="left"/>
      <w:pPr>
        <w:ind w:left="2095" w:hanging="360"/>
      </w:pPr>
      <w:rPr>
        <w:rFonts w:ascii="Courier New" w:hAnsi="Courier New" w:cs="Courier New" w:hint="default"/>
      </w:rPr>
    </w:lvl>
    <w:lvl w:ilvl="2" w:tplc="04090005" w:tentative="1">
      <w:start w:val="1"/>
      <w:numFmt w:val="bullet"/>
      <w:lvlText w:val=""/>
      <w:lvlJc w:val="left"/>
      <w:pPr>
        <w:ind w:left="2815" w:hanging="360"/>
      </w:pPr>
      <w:rPr>
        <w:rFonts w:ascii="Wingdings" w:hAnsi="Wingdings" w:hint="default"/>
      </w:rPr>
    </w:lvl>
    <w:lvl w:ilvl="3" w:tplc="04090001" w:tentative="1">
      <w:start w:val="1"/>
      <w:numFmt w:val="bullet"/>
      <w:lvlText w:val=""/>
      <w:lvlJc w:val="left"/>
      <w:pPr>
        <w:ind w:left="3535" w:hanging="360"/>
      </w:pPr>
      <w:rPr>
        <w:rFonts w:ascii="Symbol" w:hAnsi="Symbol" w:hint="default"/>
      </w:rPr>
    </w:lvl>
    <w:lvl w:ilvl="4" w:tplc="04090003" w:tentative="1">
      <w:start w:val="1"/>
      <w:numFmt w:val="bullet"/>
      <w:lvlText w:val="o"/>
      <w:lvlJc w:val="left"/>
      <w:pPr>
        <w:ind w:left="4255" w:hanging="360"/>
      </w:pPr>
      <w:rPr>
        <w:rFonts w:ascii="Courier New" w:hAnsi="Courier New" w:cs="Courier New" w:hint="default"/>
      </w:rPr>
    </w:lvl>
    <w:lvl w:ilvl="5" w:tplc="04090005" w:tentative="1">
      <w:start w:val="1"/>
      <w:numFmt w:val="bullet"/>
      <w:lvlText w:val=""/>
      <w:lvlJc w:val="left"/>
      <w:pPr>
        <w:ind w:left="4975" w:hanging="360"/>
      </w:pPr>
      <w:rPr>
        <w:rFonts w:ascii="Wingdings" w:hAnsi="Wingdings" w:hint="default"/>
      </w:rPr>
    </w:lvl>
    <w:lvl w:ilvl="6" w:tplc="04090001" w:tentative="1">
      <w:start w:val="1"/>
      <w:numFmt w:val="bullet"/>
      <w:lvlText w:val=""/>
      <w:lvlJc w:val="left"/>
      <w:pPr>
        <w:ind w:left="5695" w:hanging="360"/>
      </w:pPr>
      <w:rPr>
        <w:rFonts w:ascii="Symbol" w:hAnsi="Symbol" w:hint="default"/>
      </w:rPr>
    </w:lvl>
    <w:lvl w:ilvl="7" w:tplc="04090003" w:tentative="1">
      <w:start w:val="1"/>
      <w:numFmt w:val="bullet"/>
      <w:lvlText w:val="o"/>
      <w:lvlJc w:val="left"/>
      <w:pPr>
        <w:ind w:left="6415" w:hanging="360"/>
      </w:pPr>
      <w:rPr>
        <w:rFonts w:ascii="Courier New" w:hAnsi="Courier New" w:cs="Courier New" w:hint="default"/>
      </w:rPr>
    </w:lvl>
    <w:lvl w:ilvl="8" w:tplc="04090005" w:tentative="1">
      <w:start w:val="1"/>
      <w:numFmt w:val="bullet"/>
      <w:lvlText w:val=""/>
      <w:lvlJc w:val="left"/>
      <w:pPr>
        <w:ind w:left="7135" w:hanging="360"/>
      </w:pPr>
      <w:rPr>
        <w:rFonts w:ascii="Wingdings" w:hAnsi="Wingdings" w:hint="default"/>
      </w:rPr>
    </w:lvl>
  </w:abstractNum>
  <w:abstractNum w:abstractNumId="10" w15:restartNumberingAfterBreak="0">
    <w:nsid w:val="2E8E434A"/>
    <w:multiLevelType w:val="hybridMultilevel"/>
    <w:tmpl w:val="8B10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3478C"/>
    <w:multiLevelType w:val="hybridMultilevel"/>
    <w:tmpl w:val="F522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20426"/>
    <w:multiLevelType w:val="hybridMultilevel"/>
    <w:tmpl w:val="D02A8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E303F"/>
    <w:multiLevelType w:val="hybridMultilevel"/>
    <w:tmpl w:val="5FC6C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C7661A"/>
    <w:multiLevelType w:val="hybridMultilevel"/>
    <w:tmpl w:val="B90231D6"/>
    <w:lvl w:ilvl="0" w:tplc="F3E07F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85595"/>
    <w:multiLevelType w:val="hybridMultilevel"/>
    <w:tmpl w:val="A84AA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160DB"/>
    <w:multiLevelType w:val="hybridMultilevel"/>
    <w:tmpl w:val="D5A003D0"/>
    <w:lvl w:ilvl="0" w:tplc="922C4A7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D19C6"/>
    <w:multiLevelType w:val="hybridMultilevel"/>
    <w:tmpl w:val="ABF2127C"/>
    <w:lvl w:ilvl="0" w:tplc="6560B350">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E77239"/>
    <w:multiLevelType w:val="hybridMultilevel"/>
    <w:tmpl w:val="A9C45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23BE9"/>
    <w:multiLevelType w:val="hybridMultilevel"/>
    <w:tmpl w:val="E4D8F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362893"/>
    <w:multiLevelType w:val="hybridMultilevel"/>
    <w:tmpl w:val="1298CD86"/>
    <w:lvl w:ilvl="0" w:tplc="7D00FF2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27E03"/>
    <w:multiLevelType w:val="hybridMultilevel"/>
    <w:tmpl w:val="3FDAE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F1931"/>
    <w:multiLevelType w:val="hybridMultilevel"/>
    <w:tmpl w:val="60F4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C2425"/>
    <w:multiLevelType w:val="hybridMultilevel"/>
    <w:tmpl w:val="AB5E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3533DE"/>
    <w:multiLevelType w:val="hybridMultilevel"/>
    <w:tmpl w:val="EFA8C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C64EDB"/>
    <w:multiLevelType w:val="hybridMultilevel"/>
    <w:tmpl w:val="DB72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877F1C"/>
    <w:multiLevelType w:val="hybridMultilevel"/>
    <w:tmpl w:val="7E24BCDE"/>
    <w:lvl w:ilvl="0" w:tplc="F3E07F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2941F7"/>
    <w:multiLevelType w:val="hybridMultilevel"/>
    <w:tmpl w:val="E30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A1670E"/>
    <w:multiLevelType w:val="hybridMultilevel"/>
    <w:tmpl w:val="E472AD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01785"/>
    <w:multiLevelType w:val="hybridMultilevel"/>
    <w:tmpl w:val="E3B6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56855"/>
    <w:multiLevelType w:val="hybridMultilevel"/>
    <w:tmpl w:val="2F5EB168"/>
    <w:lvl w:ilvl="0" w:tplc="A0C669D2">
      <w:start w:val="1"/>
      <w:numFmt w:val="decimal"/>
      <w:lvlText w:val="%1."/>
      <w:lvlJc w:val="left"/>
      <w:pPr>
        <w:ind w:left="720" w:hanging="360"/>
      </w:pPr>
      <w:rPr>
        <w:rFonts w:hint="default"/>
        <w:color w:val="auto"/>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A8000C"/>
    <w:multiLevelType w:val="hybridMultilevel"/>
    <w:tmpl w:val="DBB2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A1AFC"/>
    <w:multiLevelType w:val="hybridMultilevel"/>
    <w:tmpl w:val="D90E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
  </w:num>
  <w:num w:numId="4">
    <w:abstractNumId w:val="20"/>
  </w:num>
  <w:num w:numId="5">
    <w:abstractNumId w:val="15"/>
  </w:num>
  <w:num w:numId="6">
    <w:abstractNumId w:val="19"/>
  </w:num>
  <w:num w:numId="7">
    <w:abstractNumId w:val="11"/>
  </w:num>
  <w:num w:numId="8">
    <w:abstractNumId w:val="3"/>
  </w:num>
  <w:num w:numId="9">
    <w:abstractNumId w:val="24"/>
  </w:num>
  <w:num w:numId="10">
    <w:abstractNumId w:val="7"/>
  </w:num>
  <w:num w:numId="11">
    <w:abstractNumId w:val="8"/>
  </w:num>
  <w:num w:numId="12">
    <w:abstractNumId w:val="16"/>
  </w:num>
  <w:num w:numId="13">
    <w:abstractNumId w:val="23"/>
  </w:num>
  <w:num w:numId="14">
    <w:abstractNumId w:val="14"/>
  </w:num>
  <w:num w:numId="15">
    <w:abstractNumId w:val="27"/>
  </w:num>
  <w:num w:numId="16">
    <w:abstractNumId w:val="2"/>
  </w:num>
  <w:num w:numId="17">
    <w:abstractNumId w:val="31"/>
  </w:num>
  <w:num w:numId="18">
    <w:abstractNumId w:val="6"/>
  </w:num>
  <w:num w:numId="19">
    <w:abstractNumId w:val="0"/>
  </w:num>
  <w:num w:numId="20">
    <w:abstractNumId w:val="26"/>
  </w:num>
  <w:num w:numId="21">
    <w:abstractNumId w:val="9"/>
  </w:num>
  <w:num w:numId="22">
    <w:abstractNumId w:val="28"/>
  </w:num>
  <w:num w:numId="23">
    <w:abstractNumId w:val="30"/>
  </w:num>
  <w:num w:numId="24">
    <w:abstractNumId w:val="17"/>
  </w:num>
  <w:num w:numId="25">
    <w:abstractNumId w:val="4"/>
  </w:num>
  <w:num w:numId="26">
    <w:abstractNumId w:val="12"/>
  </w:num>
  <w:num w:numId="27">
    <w:abstractNumId w:val="25"/>
  </w:num>
  <w:num w:numId="28">
    <w:abstractNumId w:val="10"/>
  </w:num>
  <w:num w:numId="29">
    <w:abstractNumId w:val="32"/>
  </w:num>
  <w:num w:numId="30">
    <w:abstractNumId w:val="21"/>
  </w:num>
  <w:num w:numId="31">
    <w:abstractNumId w:val="5"/>
  </w:num>
  <w:num w:numId="32">
    <w:abstractNumId w:val="2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66"/>
    <w:rsid w:val="00012D79"/>
    <w:rsid w:val="000154EE"/>
    <w:rsid w:val="0001559D"/>
    <w:rsid w:val="00015AAF"/>
    <w:rsid w:val="0001706B"/>
    <w:rsid w:val="0002150E"/>
    <w:rsid w:val="00023AF0"/>
    <w:rsid w:val="000244F8"/>
    <w:rsid w:val="00027D40"/>
    <w:rsid w:val="0003065A"/>
    <w:rsid w:val="00037F87"/>
    <w:rsid w:val="000441B2"/>
    <w:rsid w:val="00046F79"/>
    <w:rsid w:val="00052EC1"/>
    <w:rsid w:val="00053FB1"/>
    <w:rsid w:val="00083941"/>
    <w:rsid w:val="000916D0"/>
    <w:rsid w:val="000A5CE4"/>
    <w:rsid w:val="000D144A"/>
    <w:rsid w:val="000F126E"/>
    <w:rsid w:val="0011404C"/>
    <w:rsid w:val="00140321"/>
    <w:rsid w:val="00140F71"/>
    <w:rsid w:val="001422AC"/>
    <w:rsid w:val="001505CC"/>
    <w:rsid w:val="00170818"/>
    <w:rsid w:val="00172162"/>
    <w:rsid w:val="00183C56"/>
    <w:rsid w:val="00194066"/>
    <w:rsid w:val="001E41F8"/>
    <w:rsid w:val="001E4FF6"/>
    <w:rsid w:val="001E7EAA"/>
    <w:rsid w:val="00226274"/>
    <w:rsid w:val="00241DB4"/>
    <w:rsid w:val="00242324"/>
    <w:rsid w:val="00247DD5"/>
    <w:rsid w:val="00266E1F"/>
    <w:rsid w:val="00267B8E"/>
    <w:rsid w:val="00274618"/>
    <w:rsid w:val="0027575D"/>
    <w:rsid w:val="00283DFE"/>
    <w:rsid w:val="00295541"/>
    <w:rsid w:val="002A1559"/>
    <w:rsid w:val="002C44F2"/>
    <w:rsid w:val="002E10A6"/>
    <w:rsid w:val="00307E16"/>
    <w:rsid w:val="00307E5D"/>
    <w:rsid w:val="00310F36"/>
    <w:rsid w:val="00315E8D"/>
    <w:rsid w:val="00332374"/>
    <w:rsid w:val="003407CC"/>
    <w:rsid w:val="00343F19"/>
    <w:rsid w:val="00347C19"/>
    <w:rsid w:val="00350239"/>
    <w:rsid w:val="00353EC2"/>
    <w:rsid w:val="0036219E"/>
    <w:rsid w:val="00362AF2"/>
    <w:rsid w:val="003821C0"/>
    <w:rsid w:val="003917D4"/>
    <w:rsid w:val="003967B6"/>
    <w:rsid w:val="003B2F82"/>
    <w:rsid w:val="003C1C4A"/>
    <w:rsid w:val="003D01DA"/>
    <w:rsid w:val="003D1360"/>
    <w:rsid w:val="003D6B6C"/>
    <w:rsid w:val="003E024D"/>
    <w:rsid w:val="003E19E9"/>
    <w:rsid w:val="003E6CEA"/>
    <w:rsid w:val="00401E45"/>
    <w:rsid w:val="004151B1"/>
    <w:rsid w:val="00432F7F"/>
    <w:rsid w:val="0043455F"/>
    <w:rsid w:val="0043611E"/>
    <w:rsid w:val="004663C7"/>
    <w:rsid w:val="00473443"/>
    <w:rsid w:val="00473532"/>
    <w:rsid w:val="00474B46"/>
    <w:rsid w:val="00480724"/>
    <w:rsid w:val="004B4192"/>
    <w:rsid w:val="004C4481"/>
    <w:rsid w:val="004D40E1"/>
    <w:rsid w:val="004D57DD"/>
    <w:rsid w:val="00511C9F"/>
    <w:rsid w:val="00533A6A"/>
    <w:rsid w:val="005353A0"/>
    <w:rsid w:val="00542ECF"/>
    <w:rsid w:val="00556717"/>
    <w:rsid w:val="00556C0F"/>
    <w:rsid w:val="005640D1"/>
    <w:rsid w:val="00564512"/>
    <w:rsid w:val="00575BE4"/>
    <w:rsid w:val="00583968"/>
    <w:rsid w:val="005907D9"/>
    <w:rsid w:val="005934C7"/>
    <w:rsid w:val="005A2BBF"/>
    <w:rsid w:val="005A478C"/>
    <w:rsid w:val="005A7358"/>
    <w:rsid w:val="005C48D1"/>
    <w:rsid w:val="005D2E98"/>
    <w:rsid w:val="00613127"/>
    <w:rsid w:val="006268EA"/>
    <w:rsid w:val="006461C5"/>
    <w:rsid w:val="006708B5"/>
    <w:rsid w:val="00692803"/>
    <w:rsid w:val="0069494F"/>
    <w:rsid w:val="006A03AD"/>
    <w:rsid w:val="006A2F10"/>
    <w:rsid w:val="006B5727"/>
    <w:rsid w:val="006C24E4"/>
    <w:rsid w:val="006C4240"/>
    <w:rsid w:val="006D18AF"/>
    <w:rsid w:val="006E1560"/>
    <w:rsid w:val="006E5987"/>
    <w:rsid w:val="006E7A3A"/>
    <w:rsid w:val="006F6D98"/>
    <w:rsid w:val="00704C8E"/>
    <w:rsid w:val="00704D00"/>
    <w:rsid w:val="00707A4F"/>
    <w:rsid w:val="0071569F"/>
    <w:rsid w:val="007162F2"/>
    <w:rsid w:val="007317B9"/>
    <w:rsid w:val="007404CE"/>
    <w:rsid w:val="007457B0"/>
    <w:rsid w:val="0078649E"/>
    <w:rsid w:val="007D5D4B"/>
    <w:rsid w:val="007D6E09"/>
    <w:rsid w:val="007D7398"/>
    <w:rsid w:val="007E6C38"/>
    <w:rsid w:val="00815BA4"/>
    <w:rsid w:val="008211DE"/>
    <w:rsid w:val="0084126D"/>
    <w:rsid w:val="008435DF"/>
    <w:rsid w:val="008618EF"/>
    <w:rsid w:val="0086313E"/>
    <w:rsid w:val="00880CD0"/>
    <w:rsid w:val="00882E69"/>
    <w:rsid w:val="008B4866"/>
    <w:rsid w:val="008C13FA"/>
    <w:rsid w:val="008C2F0A"/>
    <w:rsid w:val="008C3F11"/>
    <w:rsid w:val="008D234D"/>
    <w:rsid w:val="00910656"/>
    <w:rsid w:val="00923973"/>
    <w:rsid w:val="0094107E"/>
    <w:rsid w:val="00957482"/>
    <w:rsid w:val="009A38DA"/>
    <w:rsid w:val="009D1034"/>
    <w:rsid w:val="009D4F83"/>
    <w:rsid w:val="009F4513"/>
    <w:rsid w:val="009F6662"/>
    <w:rsid w:val="00A01BCA"/>
    <w:rsid w:val="00A039BC"/>
    <w:rsid w:val="00A17753"/>
    <w:rsid w:val="00A231B4"/>
    <w:rsid w:val="00A26123"/>
    <w:rsid w:val="00A35072"/>
    <w:rsid w:val="00A540CD"/>
    <w:rsid w:val="00A71470"/>
    <w:rsid w:val="00A75786"/>
    <w:rsid w:val="00A76ACB"/>
    <w:rsid w:val="00A812EF"/>
    <w:rsid w:val="00A81A8E"/>
    <w:rsid w:val="00A84E84"/>
    <w:rsid w:val="00AA4761"/>
    <w:rsid w:val="00AD0D05"/>
    <w:rsid w:val="00AE1479"/>
    <w:rsid w:val="00AE2BC5"/>
    <w:rsid w:val="00AE3268"/>
    <w:rsid w:val="00AE5147"/>
    <w:rsid w:val="00AF4163"/>
    <w:rsid w:val="00AF76AC"/>
    <w:rsid w:val="00B255E0"/>
    <w:rsid w:val="00B34162"/>
    <w:rsid w:val="00B40DE1"/>
    <w:rsid w:val="00B5352A"/>
    <w:rsid w:val="00B56163"/>
    <w:rsid w:val="00B60429"/>
    <w:rsid w:val="00B62C2A"/>
    <w:rsid w:val="00B84C98"/>
    <w:rsid w:val="00BA5862"/>
    <w:rsid w:val="00BB300D"/>
    <w:rsid w:val="00BD45E1"/>
    <w:rsid w:val="00BF14EE"/>
    <w:rsid w:val="00C011B4"/>
    <w:rsid w:val="00C04F4F"/>
    <w:rsid w:val="00C119F2"/>
    <w:rsid w:val="00C14BA5"/>
    <w:rsid w:val="00C24157"/>
    <w:rsid w:val="00C24574"/>
    <w:rsid w:val="00C265FA"/>
    <w:rsid w:val="00C65750"/>
    <w:rsid w:val="00C701EB"/>
    <w:rsid w:val="00C718CC"/>
    <w:rsid w:val="00C759B1"/>
    <w:rsid w:val="00C76E53"/>
    <w:rsid w:val="00C97E1F"/>
    <w:rsid w:val="00CA2351"/>
    <w:rsid w:val="00CA470C"/>
    <w:rsid w:val="00CC13DE"/>
    <w:rsid w:val="00CC3872"/>
    <w:rsid w:val="00CC5F33"/>
    <w:rsid w:val="00CD2191"/>
    <w:rsid w:val="00CD756C"/>
    <w:rsid w:val="00CE410A"/>
    <w:rsid w:val="00CE474B"/>
    <w:rsid w:val="00CE555B"/>
    <w:rsid w:val="00CF40ED"/>
    <w:rsid w:val="00D007AC"/>
    <w:rsid w:val="00D147BF"/>
    <w:rsid w:val="00D17B58"/>
    <w:rsid w:val="00D23427"/>
    <w:rsid w:val="00D2396F"/>
    <w:rsid w:val="00D30F6A"/>
    <w:rsid w:val="00D3239B"/>
    <w:rsid w:val="00D54EB5"/>
    <w:rsid w:val="00D61C6C"/>
    <w:rsid w:val="00D7239E"/>
    <w:rsid w:val="00D8059B"/>
    <w:rsid w:val="00D83015"/>
    <w:rsid w:val="00D846BC"/>
    <w:rsid w:val="00D847C1"/>
    <w:rsid w:val="00D91031"/>
    <w:rsid w:val="00DA367A"/>
    <w:rsid w:val="00DB3A54"/>
    <w:rsid w:val="00DC5C15"/>
    <w:rsid w:val="00DC6AD0"/>
    <w:rsid w:val="00DE2140"/>
    <w:rsid w:val="00DE4E0B"/>
    <w:rsid w:val="00E10BF1"/>
    <w:rsid w:val="00E14CCC"/>
    <w:rsid w:val="00E23578"/>
    <w:rsid w:val="00E363D0"/>
    <w:rsid w:val="00E73EF9"/>
    <w:rsid w:val="00E75428"/>
    <w:rsid w:val="00E90694"/>
    <w:rsid w:val="00E927A1"/>
    <w:rsid w:val="00E943AB"/>
    <w:rsid w:val="00EA110D"/>
    <w:rsid w:val="00EA4C7F"/>
    <w:rsid w:val="00EC39DD"/>
    <w:rsid w:val="00EF0190"/>
    <w:rsid w:val="00F054B8"/>
    <w:rsid w:val="00F0690B"/>
    <w:rsid w:val="00F0740B"/>
    <w:rsid w:val="00F16582"/>
    <w:rsid w:val="00F30E39"/>
    <w:rsid w:val="00F53D1D"/>
    <w:rsid w:val="00F62BCD"/>
    <w:rsid w:val="00F700B6"/>
    <w:rsid w:val="00F771EC"/>
    <w:rsid w:val="00F77293"/>
    <w:rsid w:val="00FA2151"/>
    <w:rsid w:val="00FC0917"/>
    <w:rsid w:val="00FE4FA2"/>
    <w:rsid w:val="00FF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F097"/>
  <w15:docId w15:val="{52FBD7E5-0F03-4022-BD28-AB76818B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E0B"/>
    <w:pPr>
      <w:spacing w:after="200" w:line="276" w:lineRule="auto"/>
    </w:pPr>
  </w:style>
  <w:style w:type="paragraph" w:styleId="Heading1">
    <w:name w:val="heading 1"/>
    <w:basedOn w:val="Normal"/>
    <w:next w:val="Normal"/>
    <w:link w:val="Heading1Char"/>
    <w:uiPriority w:val="9"/>
    <w:qFormat/>
    <w:rsid w:val="005934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34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02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E02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94066"/>
    <w:pPr>
      <w:ind w:left="720"/>
      <w:contextualSpacing/>
    </w:pPr>
  </w:style>
  <w:style w:type="character" w:styleId="Hyperlink">
    <w:name w:val="Hyperlink"/>
    <w:basedOn w:val="DefaultParagraphFont"/>
    <w:uiPriority w:val="99"/>
    <w:unhideWhenUsed/>
    <w:rsid w:val="00DE4E0B"/>
    <w:rPr>
      <w:color w:val="0563C1" w:themeColor="hyperlink"/>
      <w:u w:val="single"/>
    </w:rPr>
  </w:style>
  <w:style w:type="paragraph" w:styleId="Header">
    <w:name w:val="header"/>
    <w:basedOn w:val="Normal"/>
    <w:link w:val="HeaderChar"/>
    <w:uiPriority w:val="99"/>
    <w:unhideWhenUsed/>
    <w:rsid w:val="00DE4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E0B"/>
  </w:style>
  <w:style w:type="paragraph" w:styleId="Footer">
    <w:name w:val="footer"/>
    <w:basedOn w:val="Normal"/>
    <w:link w:val="FooterChar"/>
    <w:uiPriority w:val="99"/>
    <w:unhideWhenUsed/>
    <w:rsid w:val="00DE4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E0B"/>
  </w:style>
  <w:style w:type="character" w:styleId="CommentReference">
    <w:name w:val="annotation reference"/>
    <w:basedOn w:val="DefaultParagraphFont"/>
    <w:uiPriority w:val="99"/>
    <w:semiHidden/>
    <w:unhideWhenUsed/>
    <w:rsid w:val="006B5727"/>
    <w:rPr>
      <w:sz w:val="16"/>
      <w:szCs w:val="16"/>
    </w:rPr>
  </w:style>
  <w:style w:type="paragraph" w:styleId="CommentText">
    <w:name w:val="annotation text"/>
    <w:basedOn w:val="Normal"/>
    <w:link w:val="CommentTextChar"/>
    <w:uiPriority w:val="99"/>
    <w:semiHidden/>
    <w:unhideWhenUsed/>
    <w:rsid w:val="006B5727"/>
    <w:pPr>
      <w:spacing w:line="240" w:lineRule="auto"/>
    </w:pPr>
    <w:rPr>
      <w:sz w:val="20"/>
      <w:szCs w:val="20"/>
    </w:rPr>
  </w:style>
  <w:style w:type="character" w:customStyle="1" w:styleId="CommentTextChar">
    <w:name w:val="Comment Text Char"/>
    <w:basedOn w:val="DefaultParagraphFont"/>
    <w:link w:val="CommentText"/>
    <w:uiPriority w:val="99"/>
    <w:semiHidden/>
    <w:rsid w:val="006B5727"/>
    <w:rPr>
      <w:sz w:val="20"/>
      <w:szCs w:val="20"/>
    </w:rPr>
  </w:style>
  <w:style w:type="paragraph" w:styleId="CommentSubject">
    <w:name w:val="annotation subject"/>
    <w:basedOn w:val="CommentText"/>
    <w:next w:val="CommentText"/>
    <w:link w:val="CommentSubjectChar"/>
    <w:uiPriority w:val="99"/>
    <w:semiHidden/>
    <w:unhideWhenUsed/>
    <w:rsid w:val="006B5727"/>
    <w:rPr>
      <w:b/>
      <w:bCs/>
    </w:rPr>
  </w:style>
  <w:style w:type="character" w:customStyle="1" w:styleId="CommentSubjectChar">
    <w:name w:val="Comment Subject Char"/>
    <w:basedOn w:val="CommentTextChar"/>
    <w:link w:val="CommentSubject"/>
    <w:uiPriority w:val="99"/>
    <w:semiHidden/>
    <w:rsid w:val="006B5727"/>
    <w:rPr>
      <w:b/>
      <w:bCs/>
      <w:sz w:val="20"/>
      <w:szCs w:val="20"/>
    </w:rPr>
  </w:style>
  <w:style w:type="paragraph" w:styleId="BalloonText">
    <w:name w:val="Balloon Text"/>
    <w:basedOn w:val="Normal"/>
    <w:link w:val="BalloonTextChar"/>
    <w:uiPriority w:val="99"/>
    <w:semiHidden/>
    <w:unhideWhenUsed/>
    <w:rsid w:val="006B5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727"/>
    <w:rPr>
      <w:rFonts w:ascii="Segoe UI" w:hAnsi="Segoe UI" w:cs="Segoe UI"/>
      <w:sz w:val="18"/>
      <w:szCs w:val="18"/>
    </w:rPr>
  </w:style>
  <w:style w:type="paragraph" w:styleId="Revision">
    <w:name w:val="Revision"/>
    <w:hidden/>
    <w:uiPriority w:val="99"/>
    <w:semiHidden/>
    <w:rsid w:val="00DE2140"/>
    <w:pPr>
      <w:spacing w:after="0" w:line="240" w:lineRule="auto"/>
    </w:pPr>
  </w:style>
  <w:style w:type="paragraph" w:styleId="Title">
    <w:name w:val="Title"/>
    <w:basedOn w:val="Normal"/>
    <w:next w:val="Normal"/>
    <w:link w:val="TitleChar"/>
    <w:uiPriority w:val="10"/>
    <w:qFormat/>
    <w:rsid w:val="005934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4C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934C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934C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53EC2"/>
    <w:rPr>
      <w:color w:val="954F72" w:themeColor="followedHyperlink"/>
      <w:u w:val="single"/>
    </w:rPr>
  </w:style>
  <w:style w:type="paragraph" w:styleId="Subtitle">
    <w:name w:val="Subtitle"/>
    <w:basedOn w:val="Normal"/>
    <w:next w:val="Normal"/>
    <w:link w:val="SubtitleChar"/>
    <w:uiPriority w:val="11"/>
    <w:qFormat/>
    <w:rsid w:val="003E024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024D"/>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3E024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E024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8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tmp"/><Relationship Id="rId18" Type="http://schemas.openxmlformats.org/officeDocument/2006/relationships/hyperlink" Target="http://www.aihec.org/our-stories/docs/reports/AIHEC_AIMSreport_May2012.pdf" TargetMode="External"/><Relationship Id="rId26" Type="http://schemas.openxmlformats.org/officeDocument/2006/relationships/hyperlink" Target="https://www.mentalhealth.va.gov/studentveteran/onlineresources.asp" TargetMode="External"/><Relationship Id="rId3" Type="http://schemas.openxmlformats.org/officeDocument/2006/relationships/styles" Target="styles.xml"/><Relationship Id="rId21" Type="http://schemas.openxmlformats.org/officeDocument/2006/relationships/hyperlink" Target="http://www.va.gov/vetdata/docs/SpecialReports/Post_911_Veterans_Profile_2012_July2015.pdf" TargetMode="External"/><Relationship Id="rId7" Type="http://schemas.openxmlformats.org/officeDocument/2006/relationships/endnotes" Target="endnotes.xml"/><Relationship Id="rId12" Type="http://schemas.openxmlformats.org/officeDocument/2006/relationships/image" Target="media/image1.tmp"/><Relationship Id="rId17" Type="http://schemas.openxmlformats.org/officeDocument/2006/relationships/hyperlink" Target="http://www.aihec.org/our-stories/docs/reports/AIHEC_AIMS_FactBook2007.pdf" TargetMode="External"/><Relationship Id="rId25" Type="http://schemas.openxmlformats.org/officeDocument/2006/relationships/hyperlink" Target="http://www.benefits.va.gov/benefits/docs/VeteranEconomicOpportunityReport2015.PDF" TargetMode="External"/><Relationship Id="rId2" Type="http://schemas.openxmlformats.org/officeDocument/2006/relationships/numbering" Target="numbering.xml"/><Relationship Id="rId16" Type="http://schemas.openxmlformats.org/officeDocument/2006/relationships/hyperlink" Target="http://www.aihec.org/" TargetMode="External"/><Relationship Id="rId20" Type="http://schemas.openxmlformats.org/officeDocument/2006/relationships/hyperlink" Target="http://www.americanradioworks.org/boots-to-books-tran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ypeople.gov/2010/hp2020/advisory/SocietalDeterminantsHealth.htm" TargetMode="External"/><Relationship Id="rId24" Type="http://schemas.openxmlformats.org/officeDocument/2006/relationships/hyperlink" Target="http://www.benefits.va.gov/BENEFITS/Applying.asp" TargetMode="External"/><Relationship Id="rId5" Type="http://schemas.openxmlformats.org/officeDocument/2006/relationships/webSettings" Target="webSettings.xml"/><Relationship Id="rId15" Type="http://schemas.openxmlformats.org/officeDocument/2006/relationships/hyperlink" Target="https://issuu.com/collegefund/docs/2016-2017annual_report?e=11463561/56884321" TargetMode="External"/><Relationship Id="rId23" Type="http://schemas.openxmlformats.org/officeDocument/2006/relationships/hyperlink" Target="http://www.benefits.va.gov/gibill/education_programs.asp" TargetMode="External"/><Relationship Id="rId28" Type="http://schemas.openxmlformats.org/officeDocument/2006/relationships/theme" Target="theme/theme1.xml"/><Relationship Id="rId10" Type="http://schemas.openxmlformats.org/officeDocument/2006/relationships/hyperlink" Target="http://www.cdc.gov/minorityhealth/populations/REMP/aian.html" TargetMode="External"/><Relationship Id="rId19" Type="http://schemas.openxmlformats.org/officeDocument/2006/relationships/hyperlink" Target="http://www.americanradioworks.org/documentaries/from-boots-to-books/" TargetMode="External"/><Relationship Id="rId4" Type="http://schemas.openxmlformats.org/officeDocument/2006/relationships/settings" Target="settings.xml"/><Relationship Id="rId9" Type="http://schemas.openxmlformats.org/officeDocument/2006/relationships/hyperlink" Target="http://www.aihec.org/who-we-serve/map.htm" TargetMode="External"/><Relationship Id="rId14" Type="http://schemas.openxmlformats.org/officeDocument/2006/relationships/hyperlink" Target="http://www.collegefund.org/" TargetMode="External"/><Relationship Id="rId22" Type="http://schemas.openxmlformats.org/officeDocument/2006/relationships/hyperlink" Target="http://www.benefits.va.gov/gibil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4D7F1-A621-41FE-9641-55AF61C8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2763</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Shangreaux, Carly</dc:creator>
  <cp:lastModifiedBy>Goss, Cynthia</cp:lastModifiedBy>
  <cp:revision>2</cp:revision>
  <dcterms:created xsi:type="dcterms:W3CDTF">2018-06-21T19:58:00Z</dcterms:created>
  <dcterms:modified xsi:type="dcterms:W3CDTF">2018-06-21T19:58:00Z</dcterms:modified>
</cp:coreProperties>
</file>